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9FE78">
      <w:pPr>
        <w:spacing w:line="240" w:lineRule="auto"/>
        <w:jc w:val="center"/>
        <w:rPr>
          <w:rFonts w:hint="eastAsia" w:ascii="宋体" w:hAnsi="宋体"/>
          <w:b/>
          <w:sz w:val="44"/>
          <w:szCs w:val="44"/>
        </w:rPr>
      </w:pPr>
      <w:bookmarkStart w:id="142" w:name="_GoBack"/>
      <w:bookmarkEnd w:id="142"/>
    </w:p>
    <w:p w14:paraId="48213FCF">
      <w:pPr>
        <w:spacing w:line="240" w:lineRule="auto"/>
        <w:jc w:val="center"/>
        <w:rPr>
          <w:rFonts w:hint="eastAsia" w:ascii="宋体" w:hAnsi="宋体"/>
          <w:b/>
          <w:sz w:val="44"/>
          <w:szCs w:val="44"/>
        </w:rPr>
      </w:pPr>
    </w:p>
    <w:p w14:paraId="749B27EB">
      <w:pPr>
        <w:jc w:val="center"/>
        <w:rPr>
          <w:b/>
          <w:sz w:val="44"/>
          <w:szCs w:val="44"/>
        </w:rPr>
      </w:pPr>
      <w:bookmarkStart w:id="0" w:name="_Hlk87194763"/>
      <w:r>
        <w:rPr>
          <w:rFonts w:hint="eastAsia"/>
          <w:b/>
          <w:sz w:val="44"/>
          <w:szCs w:val="44"/>
        </w:rPr>
        <w:t>清华大学玉泉医院（清华大学中西医结合医院）</w:t>
      </w:r>
      <w:r>
        <w:rPr>
          <w:rFonts w:hint="eastAsia"/>
          <w:b/>
          <w:sz w:val="44"/>
          <w:szCs w:val="44"/>
          <w:lang w:val="en-US" w:eastAsia="zh-CN"/>
        </w:rPr>
        <w:t>医疗废物清运处置项目</w:t>
      </w:r>
    </w:p>
    <w:bookmarkEnd w:id="0"/>
    <w:p w14:paraId="69F8DF8A">
      <w:pPr>
        <w:snapToGrid w:val="0"/>
        <w:spacing w:before="1920" w:beforeLines="800" w:line="360" w:lineRule="auto"/>
        <w:jc w:val="center"/>
        <w:rPr>
          <w:rFonts w:hint="eastAsia" w:hAnsi="宋体"/>
          <w:b/>
          <w:sz w:val="84"/>
          <w:szCs w:val="84"/>
        </w:rPr>
      </w:pPr>
      <w:r>
        <w:rPr>
          <w:rFonts w:hint="eastAsia" w:hAnsi="宋体"/>
          <w:b/>
          <w:sz w:val="84"/>
          <w:szCs w:val="84"/>
        </w:rPr>
        <w:t>比选</w:t>
      </w:r>
      <w:r>
        <w:rPr>
          <w:rFonts w:hAnsi="宋体"/>
          <w:b/>
          <w:sz w:val="84"/>
          <w:szCs w:val="84"/>
        </w:rPr>
        <w:t>文件</w:t>
      </w:r>
    </w:p>
    <w:p w14:paraId="4DEA583F">
      <w:pPr>
        <w:pStyle w:val="6"/>
        <w:autoSpaceDE/>
        <w:autoSpaceDN/>
        <w:adjustRightInd/>
        <w:snapToGrid w:val="0"/>
        <w:spacing w:line="240" w:lineRule="auto"/>
        <w:jc w:val="center"/>
        <w:textAlignment w:val="auto"/>
        <w:rPr>
          <w:rFonts w:hint="eastAsia" w:hAnsi="宋体"/>
          <w:b/>
          <w:sz w:val="28"/>
        </w:rPr>
      </w:pPr>
    </w:p>
    <w:p w14:paraId="3571223F">
      <w:pPr>
        <w:spacing w:before="1800" w:beforeLines="750" w:line="240" w:lineRule="auto"/>
        <w:ind w:right="-65" w:rightChars="-27"/>
        <w:rPr>
          <w:rFonts w:hint="eastAsia" w:ascii="宋体" w:hAnsi="宋体" w:cs="Arial"/>
          <w:b/>
          <w:sz w:val="30"/>
          <w:szCs w:val="30"/>
        </w:rPr>
      </w:pPr>
    </w:p>
    <w:p w14:paraId="6557A7E4">
      <w:pPr>
        <w:spacing w:before="2160" w:beforeLines="900" w:line="400" w:lineRule="exact"/>
        <w:ind w:right="-65" w:rightChars="-27" w:firstLine="301" w:firstLineChars="100"/>
        <w:rPr>
          <w:rFonts w:ascii="宋体" w:hAnsi="宋体" w:cs="Arial"/>
          <w:b/>
          <w:sz w:val="30"/>
          <w:szCs w:val="30"/>
        </w:rPr>
      </w:pPr>
      <w:r>
        <w:rPr>
          <w:rFonts w:hint="eastAsia" w:ascii="宋体" w:hAnsi="宋体" w:cs="Arial"/>
          <w:b/>
          <w:sz w:val="30"/>
          <w:szCs w:val="30"/>
        </w:rPr>
        <w:t>比选人：清华大学玉泉医院（清华大学中西医结合医院）</w:t>
      </w:r>
    </w:p>
    <w:p w14:paraId="6D94CD8A">
      <w:pPr>
        <w:snapToGrid w:val="0"/>
        <w:spacing w:before="240" w:beforeLines="100" w:line="360" w:lineRule="auto"/>
        <w:ind w:firstLine="6" w:firstLineChars="2"/>
        <w:jc w:val="center"/>
        <w:rPr>
          <w:rFonts w:ascii="宋体" w:hAnsi="宋体" w:cs="Arial"/>
          <w:b/>
          <w:sz w:val="30"/>
          <w:szCs w:val="30"/>
        </w:rPr>
      </w:pPr>
      <w:r>
        <w:rPr>
          <w:rFonts w:hint="eastAsia" w:ascii="宋体" w:hAnsi="宋体" w:cs="Arial"/>
          <w:b/>
          <w:sz w:val="30"/>
          <w:szCs w:val="30"/>
        </w:rPr>
        <w:t xml:space="preserve">   </w:t>
      </w:r>
    </w:p>
    <w:p w14:paraId="0B08736B">
      <w:pPr>
        <w:snapToGrid w:val="0"/>
        <w:spacing w:before="240" w:beforeLines="100" w:line="360" w:lineRule="auto"/>
        <w:ind w:firstLine="6" w:firstLineChars="2"/>
        <w:jc w:val="center"/>
        <w:rPr>
          <w:rFonts w:hint="eastAsia" w:hAnsi="宋体"/>
          <w:b/>
          <w:bCs/>
          <w:kern w:val="44"/>
        </w:rPr>
      </w:pPr>
      <w:r>
        <w:rPr>
          <w:rFonts w:hint="eastAsia" w:ascii="宋体" w:hAnsi="宋体" w:cs="Arial"/>
          <w:b/>
          <w:sz w:val="30"/>
          <w:szCs w:val="30"/>
        </w:rPr>
        <w:t>2024</w:t>
      </w:r>
      <w:r>
        <w:rPr>
          <w:rFonts w:hint="eastAsia" w:hAnsi="宋体" w:cs="Arial"/>
          <w:b/>
          <w:sz w:val="30"/>
          <w:szCs w:val="30"/>
        </w:rPr>
        <w:t>年</w:t>
      </w:r>
      <w:r>
        <w:rPr>
          <w:rFonts w:hint="eastAsia" w:ascii="宋体" w:hAnsi="宋体" w:eastAsia="宋体" w:cs="Arial"/>
          <w:b/>
          <w:sz w:val="30"/>
          <w:szCs w:val="30"/>
          <w:lang w:val="en-US" w:eastAsia="zh-CN"/>
        </w:rPr>
        <w:t>12</w:t>
      </w:r>
      <w:r>
        <w:rPr>
          <w:rFonts w:hint="eastAsia" w:hAnsi="宋体" w:cs="Arial"/>
          <w:b/>
          <w:sz w:val="30"/>
          <w:szCs w:val="30"/>
        </w:rPr>
        <w:t>月</w:t>
      </w:r>
      <w:r>
        <w:rPr>
          <w:rFonts w:hAnsi="宋体"/>
          <w:b/>
          <w:bCs/>
          <w:kern w:val="44"/>
        </w:rPr>
        <w:br w:type="page"/>
      </w:r>
      <w:r>
        <w:rPr>
          <w:rFonts w:hAnsi="宋体"/>
          <w:b/>
          <w:bCs/>
          <w:kern w:val="44"/>
          <w:sz w:val="32"/>
          <w:szCs w:val="32"/>
        </w:rPr>
        <w:t>目</w:t>
      </w:r>
      <w:r>
        <w:rPr>
          <w:b/>
          <w:bCs/>
          <w:kern w:val="44"/>
          <w:sz w:val="32"/>
          <w:szCs w:val="32"/>
        </w:rPr>
        <w:t xml:space="preserve"> </w:t>
      </w:r>
      <w:r>
        <w:rPr>
          <w:rFonts w:hAnsi="宋体"/>
          <w:b/>
          <w:bCs/>
          <w:kern w:val="44"/>
          <w:sz w:val="32"/>
          <w:szCs w:val="32"/>
        </w:rPr>
        <w:t>录</w:t>
      </w:r>
    </w:p>
    <w:p w14:paraId="35517348">
      <w:pPr>
        <w:pStyle w:val="9"/>
        <w:tabs>
          <w:tab w:val="left" w:pos="960"/>
          <w:tab w:val="right" w:leader="dot" w:pos="8296"/>
        </w:tabs>
        <w:rPr>
          <w:rFonts w:ascii="等线" w:hAnsi="等线" w:eastAsia="等线"/>
          <w:b w:val="0"/>
          <w:bCs w:val="0"/>
          <w:caps w:val="0"/>
          <w:sz w:val="21"/>
          <w:szCs w:val="22"/>
        </w:rPr>
      </w:pPr>
      <w:r>
        <w:rPr>
          <w:rFonts w:ascii="Calibri" w:hAnsi="Calibri" w:cs="Calibri"/>
        </w:rPr>
        <w:fldChar w:fldCharType="begin"/>
      </w:r>
      <w:r>
        <w:rPr>
          <w:rFonts w:ascii="Calibri" w:hAnsi="Calibri" w:cs="Calibri"/>
        </w:rPr>
        <w:instrText xml:space="preserve"> TOC \o "1-1" \h \z \u </w:instrText>
      </w:r>
      <w:r>
        <w:rPr>
          <w:rFonts w:ascii="Calibri" w:hAnsi="Calibri" w:cs="Calibri"/>
        </w:rPr>
        <w:fldChar w:fldCharType="separate"/>
      </w:r>
      <w:r>
        <w:fldChar w:fldCharType="begin"/>
      </w:r>
      <w:r>
        <w:rPr>
          <w:rStyle w:val="14"/>
        </w:rPr>
        <w:instrText xml:space="preserve"> </w:instrText>
      </w:r>
      <w:r>
        <w:instrText xml:space="preserve">HYPERLINK \l "_Toc168175759"</w:instrText>
      </w:r>
      <w:r>
        <w:rPr>
          <w:rStyle w:val="14"/>
        </w:rPr>
        <w:instrText xml:space="preserve"> </w:instrText>
      </w:r>
      <w:r>
        <w:fldChar w:fldCharType="separate"/>
      </w:r>
      <w:r>
        <w:rPr>
          <w:rStyle w:val="14"/>
          <w:rFonts w:hAnsi="宋体"/>
        </w:rPr>
        <w:t>第一章</w:t>
      </w:r>
      <w:r>
        <w:rPr>
          <w:rFonts w:ascii="等线" w:hAnsi="等线" w:eastAsia="等线"/>
          <w:b w:val="0"/>
          <w:bCs w:val="0"/>
          <w:caps w:val="0"/>
          <w:sz w:val="21"/>
          <w:szCs w:val="22"/>
        </w:rPr>
        <w:tab/>
      </w:r>
      <w:r>
        <w:rPr>
          <w:rStyle w:val="14"/>
          <w:rFonts w:hAnsi="宋体"/>
        </w:rPr>
        <w:t>比选邀请</w:t>
      </w:r>
      <w:r>
        <w:tab/>
      </w:r>
      <w:r>
        <w:fldChar w:fldCharType="begin"/>
      </w:r>
      <w:r>
        <w:instrText xml:space="preserve"> PAGEREF _Toc168175759 \h </w:instrText>
      </w:r>
      <w:r>
        <w:fldChar w:fldCharType="separate"/>
      </w:r>
      <w:r>
        <w:t>- 1 -</w:t>
      </w:r>
      <w:r>
        <w:fldChar w:fldCharType="end"/>
      </w:r>
      <w:r>
        <w:fldChar w:fldCharType="end"/>
      </w:r>
    </w:p>
    <w:p w14:paraId="51652C89">
      <w:pPr>
        <w:pStyle w:val="9"/>
        <w:tabs>
          <w:tab w:val="left" w:pos="960"/>
          <w:tab w:val="right" w:leader="dot" w:pos="8296"/>
        </w:tabs>
        <w:rPr>
          <w:rFonts w:ascii="等线" w:hAnsi="等线" w:eastAsia="等线"/>
          <w:b w:val="0"/>
          <w:bCs w:val="0"/>
          <w:caps w:val="0"/>
          <w:sz w:val="21"/>
          <w:szCs w:val="22"/>
        </w:rPr>
      </w:pPr>
      <w:r>
        <w:fldChar w:fldCharType="begin"/>
      </w:r>
      <w:r>
        <w:rPr>
          <w:rStyle w:val="14"/>
        </w:rPr>
        <w:instrText xml:space="preserve"> </w:instrText>
      </w:r>
      <w:r>
        <w:instrText xml:space="preserve">HYPERLINK \l "_Toc168175760"</w:instrText>
      </w:r>
      <w:r>
        <w:rPr>
          <w:rStyle w:val="14"/>
        </w:rPr>
        <w:instrText xml:space="preserve"> </w:instrText>
      </w:r>
      <w:r>
        <w:fldChar w:fldCharType="separate"/>
      </w:r>
      <w:r>
        <w:rPr>
          <w:rStyle w:val="14"/>
          <w:rFonts w:hAnsi="宋体"/>
        </w:rPr>
        <w:t>第二章</w:t>
      </w:r>
      <w:r>
        <w:rPr>
          <w:rFonts w:ascii="等线" w:hAnsi="等线" w:eastAsia="等线"/>
          <w:b w:val="0"/>
          <w:bCs w:val="0"/>
          <w:caps w:val="0"/>
          <w:sz w:val="21"/>
          <w:szCs w:val="22"/>
        </w:rPr>
        <w:tab/>
      </w:r>
      <w:r>
        <w:rPr>
          <w:rStyle w:val="14"/>
          <w:rFonts w:hAnsi="宋体"/>
        </w:rPr>
        <w:t>比选须知及评审</w:t>
      </w:r>
      <w:r>
        <w:tab/>
      </w:r>
      <w:r>
        <w:fldChar w:fldCharType="begin"/>
      </w:r>
      <w:r>
        <w:instrText xml:space="preserve"> PAGEREF _Toc168175760 \h </w:instrText>
      </w:r>
      <w:r>
        <w:fldChar w:fldCharType="separate"/>
      </w:r>
      <w:r>
        <w:t>- 3 -</w:t>
      </w:r>
      <w:r>
        <w:fldChar w:fldCharType="end"/>
      </w:r>
      <w:r>
        <w:fldChar w:fldCharType="end"/>
      </w:r>
    </w:p>
    <w:p w14:paraId="1DC71E9B">
      <w:pPr>
        <w:pStyle w:val="9"/>
        <w:tabs>
          <w:tab w:val="left" w:pos="960"/>
          <w:tab w:val="right" w:leader="dot" w:pos="8296"/>
        </w:tabs>
        <w:rPr>
          <w:rFonts w:ascii="等线" w:hAnsi="等线" w:eastAsia="等线"/>
          <w:b w:val="0"/>
          <w:bCs w:val="0"/>
          <w:caps w:val="0"/>
          <w:sz w:val="21"/>
          <w:szCs w:val="22"/>
        </w:rPr>
      </w:pPr>
      <w:r>
        <w:fldChar w:fldCharType="begin"/>
      </w:r>
      <w:r>
        <w:rPr>
          <w:rStyle w:val="14"/>
        </w:rPr>
        <w:instrText xml:space="preserve"> </w:instrText>
      </w:r>
      <w:r>
        <w:instrText xml:space="preserve">HYPERLINK \l "_Toc168175761"</w:instrText>
      </w:r>
      <w:r>
        <w:rPr>
          <w:rStyle w:val="14"/>
        </w:rPr>
        <w:instrText xml:space="preserve"> </w:instrText>
      </w:r>
      <w:r>
        <w:fldChar w:fldCharType="separate"/>
      </w:r>
      <w:r>
        <w:rPr>
          <w:rStyle w:val="14"/>
          <w:rFonts w:hAnsi="宋体"/>
        </w:rPr>
        <w:t>第三章</w:t>
      </w:r>
      <w:r>
        <w:rPr>
          <w:rFonts w:ascii="等线" w:hAnsi="等线" w:eastAsia="等线"/>
          <w:b w:val="0"/>
          <w:bCs w:val="0"/>
          <w:caps w:val="0"/>
          <w:sz w:val="21"/>
          <w:szCs w:val="22"/>
        </w:rPr>
        <w:tab/>
      </w:r>
      <w:bookmarkStart w:id="1" w:name="_Hlt168684467"/>
      <w:bookmarkStart w:id="2" w:name="_Hlt168684466"/>
      <w:r>
        <w:rPr>
          <w:rStyle w:val="14"/>
          <w:rFonts w:hint="eastAsia" w:hAnsi="宋体"/>
        </w:rPr>
        <w:t>服务需求</w:t>
      </w:r>
      <w:r>
        <w:tab/>
      </w:r>
      <w:bookmarkEnd w:id="1"/>
      <w:bookmarkEnd w:id="2"/>
      <w:r>
        <w:fldChar w:fldCharType="begin"/>
      </w:r>
      <w:r>
        <w:instrText xml:space="preserve"> PAGEREF _Toc168175761 \h </w:instrText>
      </w:r>
      <w:r>
        <w:fldChar w:fldCharType="separate"/>
      </w:r>
      <w:r>
        <w:t>- 8 -</w:t>
      </w:r>
      <w:r>
        <w:fldChar w:fldCharType="end"/>
      </w:r>
      <w:r>
        <w:fldChar w:fldCharType="end"/>
      </w:r>
    </w:p>
    <w:p w14:paraId="28B004AA">
      <w:pPr>
        <w:pStyle w:val="9"/>
        <w:tabs>
          <w:tab w:val="left" w:pos="960"/>
          <w:tab w:val="right" w:leader="dot" w:pos="8296"/>
        </w:tabs>
        <w:rPr>
          <w:rFonts w:ascii="等线" w:hAnsi="等线" w:eastAsia="等线"/>
          <w:b w:val="0"/>
          <w:bCs w:val="0"/>
          <w:caps w:val="0"/>
          <w:sz w:val="21"/>
          <w:szCs w:val="22"/>
        </w:rPr>
      </w:pPr>
      <w:r>
        <w:fldChar w:fldCharType="begin"/>
      </w:r>
      <w:r>
        <w:rPr>
          <w:rStyle w:val="14"/>
        </w:rPr>
        <w:instrText xml:space="preserve"> </w:instrText>
      </w:r>
      <w:r>
        <w:instrText xml:space="preserve">HYPERLINK \l "_Toc168175762"</w:instrText>
      </w:r>
      <w:r>
        <w:rPr>
          <w:rStyle w:val="14"/>
        </w:rPr>
        <w:instrText xml:space="preserve"> </w:instrText>
      </w:r>
      <w:r>
        <w:fldChar w:fldCharType="separate"/>
      </w:r>
      <w:r>
        <w:rPr>
          <w:rStyle w:val="14"/>
          <w:rFonts w:hAnsi="宋体"/>
        </w:rPr>
        <w:t>第四章</w:t>
      </w:r>
      <w:r>
        <w:rPr>
          <w:rFonts w:ascii="等线" w:hAnsi="等线" w:eastAsia="等线"/>
          <w:b w:val="0"/>
          <w:bCs w:val="0"/>
          <w:caps w:val="0"/>
          <w:sz w:val="21"/>
          <w:szCs w:val="22"/>
        </w:rPr>
        <w:tab/>
      </w:r>
      <w:r>
        <w:rPr>
          <w:rStyle w:val="14"/>
          <w:rFonts w:hAnsi="宋体"/>
        </w:rPr>
        <w:t>合同条件</w:t>
      </w:r>
      <w:r>
        <w:tab/>
      </w:r>
      <w:r>
        <w:fldChar w:fldCharType="begin"/>
      </w:r>
      <w:r>
        <w:instrText xml:space="preserve"> PAGEREF _Toc168175762 \h </w:instrText>
      </w:r>
      <w:r>
        <w:fldChar w:fldCharType="separate"/>
      </w:r>
      <w:r>
        <w:t xml:space="preserve">- </w:t>
      </w:r>
      <w:r>
        <w:rPr>
          <w:rFonts w:hint="eastAsia"/>
          <w:lang w:val="en-US" w:eastAsia="zh-CN"/>
        </w:rPr>
        <w:t>10</w:t>
      </w:r>
      <w:r>
        <w:t xml:space="preserve"> -</w:t>
      </w:r>
      <w:r>
        <w:fldChar w:fldCharType="end"/>
      </w:r>
      <w:r>
        <w:fldChar w:fldCharType="end"/>
      </w:r>
    </w:p>
    <w:p w14:paraId="1EDAB862">
      <w:pPr>
        <w:pStyle w:val="9"/>
        <w:tabs>
          <w:tab w:val="left" w:pos="960"/>
          <w:tab w:val="right" w:leader="dot" w:pos="8296"/>
        </w:tabs>
        <w:rPr>
          <w:rFonts w:ascii="等线" w:hAnsi="等线" w:eastAsia="等线"/>
          <w:b w:val="0"/>
          <w:bCs w:val="0"/>
          <w:caps w:val="0"/>
          <w:sz w:val="21"/>
          <w:szCs w:val="22"/>
        </w:rPr>
      </w:pPr>
      <w:r>
        <w:fldChar w:fldCharType="begin"/>
      </w:r>
      <w:r>
        <w:rPr>
          <w:rStyle w:val="14"/>
        </w:rPr>
        <w:instrText xml:space="preserve"> </w:instrText>
      </w:r>
      <w:r>
        <w:instrText xml:space="preserve">HYPERLINK \l "_Toc168175763"</w:instrText>
      </w:r>
      <w:r>
        <w:rPr>
          <w:rStyle w:val="14"/>
        </w:rPr>
        <w:instrText xml:space="preserve"> </w:instrText>
      </w:r>
      <w:r>
        <w:fldChar w:fldCharType="separate"/>
      </w:r>
      <w:r>
        <w:rPr>
          <w:rStyle w:val="14"/>
          <w:rFonts w:hAnsi="宋体"/>
        </w:rPr>
        <w:t>第五章</w:t>
      </w:r>
      <w:r>
        <w:rPr>
          <w:rFonts w:ascii="等线" w:hAnsi="等线" w:eastAsia="等线"/>
          <w:b w:val="0"/>
          <w:bCs w:val="0"/>
          <w:caps w:val="0"/>
          <w:sz w:val="21"/>
          <w:szCs w:val="22"/>
        </w:rPr>
        <w:tab/>
      </w:r>
      <w:r>
        <w:rPr>
          <w:rStyle w:val="14"/>
          <w:rFonts w:hAnsi="宋体"/>
        </w:rPr>
        <w:t>响应文</w:t>
      </w:r>
      <w:bookmarkStart w:id="3" w:name="_Hlt169031825"/>
      <w:bookmarkStart w:id="4" w:name="_Hlt168175769"/>
      <w:bookmarkStart w:id="5" w:name="_Hlt169031826"/>
      <w:r>
        <w:rPr>
          <w:rStyle w:val="14"/>
          <w:rFonts w:hAnsi="宋体"/>
        </w:rPr>
        <w:t>件</w:t>
      </w:r>
      <w:bookmarkEnd w:id="3"/>
      <w:bookmarkEnd w:id="4"/>
      <w:bookmarkEnd w:id="5"/>
      <w:r>
        <w:rPr>
          <w:rStyle w:val="14"/>
          <w:rFonts w:hAnsi="宋体"/>
        </w:rPr>
        <w:t>格</w:t>
      </w:r>
      <w:bookmarkStart w:id="6" w:name="_Hlt168684504"/>
      <w:r>
        <w:rPr>
          <w:rStyle w:val="14"/>
          <w:rFonts w:hAnsi="宋体"/>
        </w:rPr>
        <w:t>式</w:t>
      </w:r>
      <w:bookmarkEnd w:id="6"/>
      <w:r>
        <w:tab/>
      </w:r>
      <w:r>
        <w:fldChar w:fldCharType="begin"/>
      </w:r>
      <w:r>
        <w:instrText xml:space="preserve"> PAGEREF _Toc168175763 \h </w:instrText>
      </w:r>
      <w:r>
        <w:fldChar w:fldCharType="separate"/>
      </w:r>
      <w:r>
        <w:t>- 15 -</w:t>
      </w:r>
      <w:r>
        <w:fldChar w:fldCharType="end"/>
      </w:r>
      <w:r>
        <w:fldChar w:fldCharType="end"/>
      </w:r>
    </w:p>
    <w:p w14:paraId="0FB021D9">
      <w:pPr>
        <w:snapToGrid w:val="0"/>
        <w:spacing w:line="360" w:lineRule="auto"/>
        <w:ind w:firstLine="4" w:firstLineChars="2"/>
        <w:rPr>
          <w:rFonts w:cs="Calibri"/>
        </w:rPr>
        <w:sectPr>
          <w:headerReference r:id="rId5" w:type="default"/>
          <w:pgSz w:w="11906" w:h="16838"/>
          <w:pgMar w:top="1440" w:right="1800" w:bottom="1440" w:left="1800" w:header="850" w:footer="680" w:gutter="0"/>
          <w:pgNumType w:fmt="numberInDash" w:start="1"/>
          <w:cols w:space="720" w:num="1"/>
          <w:docGrid w:linePitch="326" w:charSpace="0"/>
        </w:sectPr>
      </w:pPr>
      <w:r>
        <w:rPr>
          <w:rFonts w:cs="Calibri"/>
        </w:rPr>
        <w:fldChar w:fldCharType="end"/>
      </w:r>
    </w:p>
    <w:p w14:paraId="40C095AD">
      <w:pPr>
        <w:pStyle w:val="3"/>
        <w:keepNext w:val="0"/>
        <w:keepLines w:val="0"/>
        <w:numPr>
          <w:ilvl w:val="0"/>
          <w:numId w:val="1"/>
        </w:numPr>
        <w:tabs>
          <w:tab w:val="left" w:pos="1701"/>
        </w:tabs>
        <w:spacing w:before="0" w:after="0" w:line="240" w:lineRule="auto"/>
        <w:jc w:val="center"/>
        <w:rPr>
          <w:rFonts w:hAnsi="宋体"/>
          <w:bCs w:val="0"/>
          <w:color w:val="auto"/>
          <w:sz w:val="36"/>
          <w:szCs w:val="36"/>
        </w:rPr>
      </w:pPr>
      <w:bookmarkStart w:id="7" w:name="_Toc168175759"/>
      <w:bookmarkStart w:id="8" w:name="_Toc17470225"/>
      <w:bookmarkStart w:id="9" w:name="_Toc33215063"/>
      <w:bookmarkStart w:id="10" w:name="_Toc17472617"/>
      <w:bookmarkStart w:id="11" w:name="_Toc32637727"/>
      <w:bookmarkStart w:id="12" w:name="_Toc66555393"/>
      <w:bookmarkStart w:id="13" w:name="_Toc34843832"/>
      <w:bookmarkStart w:id="14" w:name="_Toc17479551"/>
      <w:bookmarkStart w:id="15" w:name="_Toc48966878"/>
      <w:r>
        <w:rPr>
          <w:rFonts w:hint="eastAsia" w:hAnsi="宋体"/>
          <w:bCs w:val="0"/>
          <w:color w:val="auto"/>
          <w:sz w:val="36"/>
          <w:szCs w:val="36"/>
        </w:rPr>
        <w:t>比选邀请</w:t>
      </w:r>
      <w:bookmarkEnd w:id="7"/>
    </w:p>
    <w:p w14:paraId="016FDFA0">
      <w:pPr>
        <w:tabs>
          <w:tab w:val="left" w:pos="2520"/>
          <w:tab w:val="left" w:pos="2940"/>
        </w:tabs>
        <w:spacing w:line="360" w:lineRule="auto"/>
        <w:jc w:val="left"/>
        <w:rPr>
          <w:rFonts w:ascii="宋体" w:hAnsi="宋体"/>
          <w:b/>
          <w:color w:val="000000"/>
          <w:u w:val="single"/>
        </w:rPr>
      </w:pPr>
    </w:p>
    <w:p w14:paraId="5D010E3B">
      <w:pPr>
        <w:tabs>
          <w:tab w:val="left" w:pos="2520"/>
          <w:tab w:val="left" w:pos="2940"/>
        </w:tabs>
        <w:spacing w:line="360" w:lineRule="auto"/>
        <w:ind w:firstLine="482" w:firstLineChars="200"/>
        <w:jc w:val="left"/>
        <w:rPr>
          <w:rFonts w:hint="eastAsia" w:ascii="宋体" w:hAnsi="宋体"/>
        </w:rPr>
      </w:pPr>
      <w:r>
        <w:rPr>
          <w:rFonts w:hint="eastAsia" w:ascii="宋体" w:hAnsi="宋体"/>
          <w:b/>
          <w:color w:val="000000"/>
          <w:u w:val="single"/>
        </w:rPr>
        <w:t>清华大学玉泉医院（清华大学中西医结合医院）</w:t>
      </w:r>
      <w:r>
        <w:rPr>
          <w:rFonts w:hint="eastAsia" w:ascii="宋体" w:hAnsi="宋体"/>
          <w:color w:val="000000"/>
        </w:rPr>
        <w:t>采取比选方式确定“</w:t>
      </w:r>
      <w:r>
        <w:rPr>
          <w:rFonts w:hint="eastAsia" w:ascii="宋体" w:hAnsi="宋体"/>
          <w:b/>
          <w:color w:val="000000"/>
          <w:u w:val="single"/>
        </w:rPr>
        <w:t>清华大学玉泉医院（清华大学中西医结合医院）医疗废物清运处置项目</w:t>
      </w:r>
      <w:r>
        <w:rPr>
          <w:rFonts w:hint="eastAsia" w:ascii="宋体" w:hAnsi="宋体"/>
          <w:color w:val="000000"/>
        </w:rPr>
        <w:t>”的供应商</w:t>
      </w:r>
      <w:r>
        <w:rPr>
          <w:rFonts w:hint="eastAsia" w:ascii="宋体" w:hAnsi="宋体"/>
        </w:rPr>
        <w:t>，现邀请贵单位参加本项目的比选,具体情况如下：</w:t>
      </w:r>
    </w:p>
    <w:p w14:paraId="6A7520F2">
      <w:pPr>
        <w:tabs>
          <w:tab w:val="left" w:pos="2520"/>
          <w:tab w:val="left" w:pos="2940"/>
        </w:tabs>
        <w:spacing w:line="360" w:lineRule="auto"/>
        <w:ind w:firstLine="480" w:firstLineChars="200"/>
        <w:jc w:val="left"/>
        <w:rPr>
          <w:rFonts w:hint="eastAsia" w:ascii="宋体" w:hAnsi="宋体"/>
        </w:rPr>
      </w:pPr>
      <w:r>
        <w:rPr>
          <w:rFonts w:hint="eastAsia" w:ascii="宋体" w:hAnsi="宋体"/>
        </w:rPr>
        <w:t>一、项目基本情况</w:t>
      </w:r>
    </w:p>
    <w:p w14:paraId="45F6E12F">
      <w:pPr>
        <w:tabs>
          <w:tab w:val="left" w:pos="2520"/>
          <w:tab w:val="left" w:pos="2940"/>
        </w:tabs>
        <w:spacing w:line="360" w:lineRule="auto"/>
        <w:ind w:firstLine="480" w:firstLineChars="200"/>
        <w:jc w:val="left"/>
        <w:rPr>
          <w:rFonts w:hint="eastAsia" w:ascii="宋体" w:hAnsi="宋体"/>
        </w:rPr>
      </w:pPr>
      <w:r>
        <w:rPr>
          <w:rFonts w:hint="eastAsia" w:ascii="宋体" w:hAnsi="宋体"/>
        </w:rPr>
        <w:t>1、项目名称：清华大学玉泉医院（清华大学中西医结合医院）医疗废物清运处置项目</w:t>
      </w:r>
    </w:p>
    <w:p w14:paraId="35681974">
      <w:pPr>
        <w:tabs>
          <w:tab w:val="left" w:pos="2520"/>
          <w:tab w:val="left" w:pos="2940"/>
        </w:tabs>
        <w:spacing w:line="360" w:lineRule="auto"/>
        <w:ind w:firstLine="480" w:firstLineChars="200"/>
        <w:jc w:val="left"/>
        <w:rPr>
          <w:rFonts w:hint="eastAsia" w:ascii="宋体" w:hAnsi="宋体" w:eastAsia="宋体"/>
          <w:lang w:val="en-US" w:eastAsia="zh-CN"/>
        </w:rPr>
      </w:pPr>
      <w:r>
        <w:rPr>
          <w:rFonts w:hint="eastAsia" w:ascii="宋体" w:hAnsi="宋体"/>
          <w:lang w:val="en-US" w:eastAsia="zh-CN"/>
        </w:rPr>
        <w:t>2、项目编号CZB2025001</w:t>
      </w:r>
    </w:p>
    <w:p w14:paraId="6971A2D3">
      <w:pPr>
        <w:tabs>
          <w:tab w:val="left" w:pos="2520"/>
          <w:tab w:val="left" w:pos="2940"/>
        </w:tabs>
        <w:spacing w:line="360" w:lineRule="auto"/>
        <w:ind w:firstLine="480" w:firstLineChars="200"/>
        <w:jc w:val="left"/>
        <w:rPr>
          <w:rFonts w:hint="default" w:ascii="宋体" w:hAnsi="宋体" w:eastAsia="宋体"/>
          <w:lang w:val="en-US" w:eastAsia="zh-CN"/>
        </w:rPr>
      </w:pPr>
      <w:r>
        <w:rPr>
          <w:rFonts w:hint="eastAsia" w:ascii="宋体" w:hAnsi="宋体"/>
          <w:lang w:val="en-US" w:eastAsia="zh-CN"/>
        </w:rPr>
        <w:t>3、定义：医疗废物指医疗卫生机构在医疗、预防、保健以及其他相关活动中产生的具有直接或者间接感染性、毒性以及其他危害性的废物。</w:t>
      </w:r>
    </w:p>
    <w:p w14:paraId="76641ECF">
      <w:pPr>
        <w:tabs>
          <w:tab w:val="left" w:pos="2520"/>
          <w:tab w:val="left" w:pos="2940"/>
        </w:tabs>
        <w:spacing w:line="360" w:lineRule="auto"/>
        <w:ind w:firstLine="480" w:firstLineChars="200"/>
        <w:jc w:val="left"/>
        <w:rPr>
          <w:rFonts w:hint="eastAsia" w:ascii="宋体" w:hAnsi="宋体"/>
        </w:rPr>
      </w:pPr>
      <w:r>
        <w:rPr>
          <w:rFonts w:hint="eastAsia" w:ascii="宋体" w:hAnsi="宋体"/>
          <w:lang w:val="en-US" w:eastAsia="zh-CN"/>
        </w:rPr>
        <w:t>4</w:t>
      </w:r>
      <w:r>
        <w:rPr>
          <w:rFonts w:hint="eastAsia" w:ascii="宋体" w:hAnsi="宋体"/>
        </w:rPr>
        <w:t>、资金来源：自筹</w:t>
      </w:r>
    </w:p>
    <w:p w14:paraId="1743C04B">
      <w:pPr>
        <w:tabs>
          <w:tab w:val="left" w:pos="2520"/>
          <w:tab w:val="left" w:pos="2940"/>
        </w:tabs>
        <w:spacing w:line="360" w:lineRule="auto"/>
        <w:ind w:firstLine="480" w:firstLineChars="200"/>
        <w:jc w:val="left"/>
        <w:rPr>
          <w:rFonts w:hint="eastAsia" w:ascii="宋体" w:hAnsi="宋体"/>
        </w:rPr>
      </w:pPr>
      <w:r>
        <w:rPr>
          <w:rFonts w:hint="eastAsia" w:ascii="宋体" w:hAnsi="宋体"/>
          <w:lang w:val="en-US" w:eastAsia="zh-CN"/>
        </w:rPr>
        <w:t>5</w:t>
      </w:r>
      <w:r>
        <w:rPr>
          <w:rFonts w:hint="eastAsia" w:ascii="宋体" w:hAnsi="宋体"/>
        </w:rPr>
        <w:t>、最高限价：</w:t>
      </w:r>
      <w:r>
        <w:rPr>
          <w:rFonts w:hint="eastAsia" w:ascii="宋体" w:hAnsi="宋体"/>
          <w:lang w:val="en-US" w:eastAsia="zh-CN"/>
        </w:rPr>
        <w:t>每吨不超过3710</w:t>
      </w:r>
      <w:r>
        <w:rPr>
          <w:rFonts w:hint="eastAsia" w:ascii="宋体" w:hAnsi="宋体"/>
        </w:rPr>
        <w:t>元（人民币）</w:t>
      </w:r>
    </w:p>
    <w:p w14:paraId="4B2AD2DB">
      <w:pPr>
        <w:tabs>
          <w:tab w:val="left" w:pos="2520"/>
          <w:tab w:val="left" w:pos="2940"/>
        </w:tabs>
        <w:spacing w:line="360" w:lineRule="auto"/>
        <w:ind w:firstLine="480" w:firstLineChars="200"/>
        <w:jc w:val="left"/>
        <w:rPr>
          <w:rFonts w:hint="eastAsia" w:ascii="宋体" w:hAnsi="宋体"/>
        </w:rPr>
      </w:pPr>
      <w:r>
        <w:rPr>
          <w:rFonts w:hint="eastAsia" w:ascii="宋体" w:hAnsi="宋体"/>
          <w:lang w:val="en-US" w:eastAsia="zh-CN"/>
        </w:rPr>
        <w:t>6</w:t>
      </w:r>
      <w:r>
        <w:rPr>
          <w:rFonts w:hint="eastAsia" w:ascii="宋体" w:hAnsi="宋体"/>
        </w:rPr>
        <w:t>、服务内容及要求：为清华大学玉泉医院（清华大学中西医结合医院）提供医疗废物清运处置服务（服务的具体需求详见比选文件）。</w:t>
      </w:r>
    </w:p>
    <w:p w14:paraId="0338B345">
      <w:pPr>
        <w:tabs>
          <w:tab w:val="left" w:pos="2520"/>
          <w:tab w:val="left" w:pos="2940"/>
        </w:tabs>
        <w:spacing w:line="360" w:lineRule="auto"/>
        <w:ind w:firstLine="480" w:firstLineChars="200"/>
        <w:jc w:val="left"/>
        <w:rPr>
          <w:rFonts w:hint="eastAsia" w:ascii="宋体" w:hAnsi="宋体"/>
        </w:rPr>
      </w:pPr>
      <w:r>
        <w:rPr>
          <w:rFonts w:hint="eastAsia" w:ascii="宋体" w:hAnsi="宋体"/>
          <w:lang w:val="en-US" w:eastAsia="zh-CN"/>
        </w:rPr>
        <w:t>7</w:t>
      </w:r>
      <w:r>
        <w:rPr>
          <w:rFonts w:hint="eastAsia" w:ascii="宋体" w:hAnsi="宋体"/>
        </w:rPr>
        <w:t>、合同履行期限：1年。2025年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日至</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5AEB8E37">
      <w:pPr>
        <w:tabs>
          <w:tab w:val="left" w:pos="2520"/>
          <w:tab w:val="left" w:pos="2940"/>
        </w:tabs>
        <w:spacing w:line="360" w:lineRule="auto"/>
        <w:ind w:firstLine="480" w:firstLineChars="200"/>
        <w:jc w:val="left"/>
        <w:rPr>
          <w:rFonts w:hint="eastAsia" w:ascii="宋体" w:hAnsi="宋体"/>
        </w:rPr>
      </w:pPr>
      <w:r>
        <w:rPr>
          <w:rFonts w:hint="eastAsia" w:ascii="宋体" w:hAnsi="宋体"/>
        </w:rPr>
        <w:t>二、供应商资格要求</w:t>
      </w:r>
    </w:p>
    <w:p w14:paraId="2E66183C">
      <w:pPr>
        <w:tabs>
          <w:tab w:val="left" w:pos="2520"/>
          <w:tab w:val="left" w:pos="2940"/>
        </w:tabs>
        <w:spacing w:line="360" w:lineRule="auto"/>
        <w:ind w:firstLine="480" w:firstLineChars="200"/>
        <w:jc w:val="left"/>
        <w:rPr>
          <w:rFonts w:hint="eastAsia" w:ascii="宋体" w:hAnsi="宋体"/>
        </w:rPr>
      </w:pPr>
      <w:r>
        <w:rPr>
          <w:rFonts w:hint="eastAsia" w:ascii="宋体" w:hAnsi="宋体"/>
        </w:rPr>
        <w:t>1、</w:t>
      </w:r>
      <w:r>
        <w:rPr>
          <w:rFonts w:ascii="宋体" w:hAnsi="宋体"/>
        </w:rPr>
        <w:t>具有独立法人资格，持有工商行政管理部门核发的有效企业法人营业执照</w:t>
      </w:r>
      <w:r>
        <w:rPr>
          <w:rFonts w:hint="eastAsia" w:ascii="宋体" w:hAnsi="宋体"/>
        </w:rPr>
        <w:t>；</w:t>
      </w:r>
    </w:p>
    <w:p w14:paraId="46D6220B">
      <w:pPr>
        <w:tabs>
          <w:tab w:val="left" w:pos="2520"/>
          <w:tab w:val="left" w:pos="2940"/>
        </w:tabs>
        <w:spacing w:line="360" w:lineRule="auto"/>
        <w:ind w:firstLine="480" w:firstLineChars="200"/>
        <w:jc w:val="left"/>
        <w:rPr>
          <w:rFonts w:hint="eastAsia" w:ascii="宋体" w:hAnsi="宋体"/>
        </w:rPr>
      </w:pPr>
      <w:r>
        <w:rPr>
          <w:rFonts w:hint="eastAsia" w:ascii="宋体" w:hAnsi="宋体"/>
        </w:rPr>
        <w:t>2、应具有有效的《危险废物经营许可证》和《道路运输经营许可证》（经营范围：医疗废物）。并在人员、设备、资金等方面具备相应的能力；</w:t>
      </w:r>
    </w:p>
    <w:p w14:paraId="623D1C88">
      <w:pPr>
        <w:tabs>
          <w:tab w:val="left" w:pos="2520"/>
          <w:tab w:val="left" w:pos="2940"/>
        </w:tabs>
        <w:spacing w:line="360" w:lineRule="auto"/>
        <w:ind w:firstLine="480" w:firstLineChars="200"/>
        <w:jc w:val="left"/>
      </w:pPr>
      <w:r>
        <w:rPr>
          <w:rFonts w:hint="eastAsia" w:ascii="宋体" w:hAnsi="宋体"/>
        </w:rPr>
        <w:t>3、</w:t>
      </w:r>
      <w:r>
        <w:t>未被信用中国网站（www.creditchina.gov.cn）列入失信被执行人、重大税收违法</w:t>
      </w:r>
      <w:r>
        <w:rPr>
          <w:rFonts w:hint="eastAsia"/>
        </w:rPr>
        <w:t>失信主体</w:t>
      </w:r>
      <w:r>
        <w:t>、政府采购严重违法失信行为记录名单</w:t>
      </w:r>
      <w:r>
        <w:rPr>
          <w:rFonts w:hint="eastAsia"/>
        </w:rPr>
        <w:t>；</w:t>
      </w:r>
    </w:p>
    <w:p w14:paraId="463A66E1">
      <w:pPr>
        <w:tabs>
          <w:tab w:val="left" w:pos="2520"/>
          <w:tab w:val="left" w:pos="2940"/>
        </w:tabs>
        <w:spacing w:line="360" w:lineRule="auto"/>
        <w:ind w:firstLine="480" w:firstLineChars="200"/>
        <w:jc w:val="left"/>
        <w:rPr>
          <w:rFonts w:hint="eastAsia" w:ascii="宋体" w:hAnsi="宋体" w:eastAsia="宋体"/>
          <w:lang w:eastAsia="zh-CN"/>
        </w:rPr>
      </w:pPr>
      <w:r>
        <w:rPr>
          <w:rFonts w:hint="eastAsia"/>
        </w:rPr>
        <w:t>4、</w:t>
      </w:r>
      <w:r>
        <w:rPr>
          <w:rFonts w:hint="eastAsia" w:ascii="宋体" w:hAnsi="宋体"/>
        </w:rPr>
        <w:t>本项目不接受联合体</w:t>
      </w:r>
      <w:r>
        <w:rPr>
          <w:rFonts w:hint="eastAsia" w:ascii="宋体" w:hAnsi="宋体"/>
          <w:lang w:eastAsia="zh-CN"/>
        </w:rPr>
        <w:t>；</w:t>
      </w:r>
    </w:p>
    <w:p w14:paraId="432122D8">
      <w:pPr>
        <w:tabs>
          <w:tab w:val="left" w:pos="2520"/>
          <w:tab w:val="left" w:pos="2940"/>
        </w:tabs>
        <w:spacing w:line="360" w:lineRule="auto"/>
        <w:ind w:firstLine="480" w:firstLineChars="200"/>
        <w:jc w:val="left"/>
        <w:rPr>
          <w:rFonts w:hint="eastAsia"/>
        </w:rPr>
      </w:pPr>
      <w:r>
        <w:rPr>
          <w:rFonts w:hint="eastAsia"/>
          <w:lang w:val="en-US" w:eastAsia="zh-CN"/>
        </w:rPr>
        <w:t>5、本项目不允许转包。</w:t>
      </w:r>
    </w:p>
    <w:p w14:paraId="02328433">
      <w:pPr>
        <w:tabs>
          <w:tab w:val="left" w:pos="2520"/>
          <w:tab w:val="left" w:pos="2940"/>
        </w:tabs>
        <w:spacing w:line="360" w:lineRule="auto"/>
        <w:ind w:firstLine="480" w:firstLineChars="200"/>
        <w:jc w:val="left"/>
        <w:rPr>
          <w:rFonts w:hint="eastAsia" w:ascii="宋体" w:hAnsi="宋体" w:eastAsia="宋体"/>
          <w:lang w:val="en-US" w:eastAsia="zh-CN"/>
        </w:rPr>
      </w:pPr>
      <w:r>
        <w:rPr>
          <w:rFonts w:hint="eastAsia" w:ascii="宋体" w:hAnsi="宋体"/>
        </w:rPr>
        <w:t>三、</w:t>
      </w:r>
      <w:r>
        <w:rPr>
          <w:rFonts w:hint="eastAsia" w:ascii="宋体" w:hAnsi="宋体"/>
          <w:lang w:val="en-US" w:eastAsia="zh-CN"/>
        </w:rPr>
        <w:t>比选相关信息</w:t>
      </w:r>
    </w:p>
    <w:p w14:paraId="13E97C17">
      <w:pPr>
        <w:spacing w:before="156" w:beforeLines="50" w:after="156" w:afterLines="50" w:line="360" w:lineRule="auto"/>
        <w:outlineLvl w:val="1"/>
        <w:rPr>
          <w:rFonts w:ascii="宋体" w:hAnsi="宋体" w:cs="宋体"/>
          <w:sz w:val="24"/>
          <w:szCs w:val="24"/>
          <w:shd w:val="clear" w:color="auto" w:fill="FFFFFF"/>
        </w:rPr>
      </w:pPr>
      <w:bookmarkStart w:id="16" w:name="_Toc486580282"/>
      <w:bookmarkStart w:id="17" w:name="_Toc141541007"/>
      <w:bookmarkStart w:id="18" w:name="_Toc490331572"/>
      <w:bookmarkStart w:id="19" w:name="_Toc489280090"/>
      <w:bookmarkStart w:id="20" w:name="_Toc491149414"/>
      <w:bookmarkStart w:id="21" w:name="_Toc482206641"/>
      <w:bookmarkStart w:id="22" w:name="_Toc25749423"/>
      <w:r>
        <w:rPr>
          <w:rFonts w:hint="eastAsia" w:ascii="宋体" w:hAnsi="宋体" w:cs="宋体"/>
          <w:sz w:val="24"/>
          <w:szCs w:val="24"/>
          <w:shd w:val="clear" w:color="auto" w:fill="FFFFFF"/>
          <w:lang w:val="en-US" w:eastAsia="zh-CN"/>
        </w:rPr>
        <w:t xml:space="preserve">    1、</w:t>
      </w:r>
      <w:r>
        <w:rPr>
          <w:rFonts w:ascii="宋体" w:hAnsi="宋体" w:cs="宋体"/>
          <w:sz w:val="24"/>
          <w:szCs w:val="24"/>
          <w:shd w:val="clear" w:color="auto" w:fill="FFFFFF"/>
        </w:rPr>
        <w:t>文件的获取</w:t>
      </w:r>
      <w:bookmarkEnd w:id="16"/>
      <w:bookmarkEnd w:id="17"/>
      <w:bookmarkEnd w:id="18"/>
      <w:bookmarkEnd w:id="19"/>
      <w:bookmarkEnd w:id="20"/>
      <w:bookmarkEnd w:id="21"/>
      <w:bookmarkEnd w:id="22"/>
    </w:p>
    <w:p w14:paraId="28158B77">
      <w:pPr>
        <w:tabs>
          <w:tab w:val="left" w:pos="360"/>
        </w:tabs>
        <w:spacing w:line="360" w:lineRule="auto"/>
        <w:ind w:firstLine="484" w:firstLineChars="202"/>
        <w:rPr>
          <w:rFonts w:ascii="宋体" w:hAnsi="宋体"/>
          <w:sz w:val="24"/>
          <w:szCs w:val="24"/>
        </w:rPr>
      </w:pPr>
      <w:bookmarkStart w:id="23" w:name="_Hlk525661360"/>
      <w:bookmarkStart w:id="24" w:name="_Toc486580283"/>
      <w:bookmarkStart w:id="25" w:name="_Toc490331573"/>
      <w:bookmarkStart w:id="26" w:name="_Toc489280091"/>
      <w:bookmarkStart w:id="27" w:name="_Toc491149415"/>
      <w:bookmarkStart w:id="28" w:name="_Toc482206642"/>
      <w:r>
        <w:rPr>
          <w:rFonts w:hint="eastAsia" w:ascii="宋体" w:hAnsi="宋体"/>
          <w:sz w:val="24"/>
          <w:szCs w:val="24"/>
          <w:lang w:val="en-US" w:eastAsia="zh-CN"/>
        </w:rPr>
        <w:t>清华大学玉泉医院（清华大学中西医结合医院）官网下载附件</w:t>
      </w:r>
      <w:r>
        <w:rPr>
          <w:rFonts w:ascii="宋体" w:hAnsi="宋体"/>
          <w:sz w:val="24"/>
          <w:szCs w:val="24"/>
        </w:rPr>
        <w:t>。</w:t>
      </w:r>
      <w:bookmarkEnd w:id="23"/>
    </w:p>
    <w:bookmarkEnd w:id="24"/>
    <w:bookmarkEnd w:id="25"/>
    <w:bookmarkEnd w:id="26"/>
    <w:bookmarkEnd w:id="27"/>
    <w:bookmarkEnd w:id="28"/>
    <w:p w14:paraId="56B24ADB">
      <w:pPr>
        <w:numPr>
          <w:ilvl w:val="0"/>
          <w:numId w:val="0"/>
        </w:numPr>
        <w:spacing w:before="156" w:beforeLines="50" w:after="156" w:afterLines="50" w:line="360" w:lineRule="auto"/>
        <w:ind w:firstLine="480" w:firstLineChars="200"/>
        <w:outlineLvl w:val="1"/>
        <w:rPr>
          <w:rFonts w:hint="eastAsia" w:ascii="宋体" w:hAnsi="宋体" w:cs="宋体"/>
          <w:sz w:val="24"/>
          <w:szCs w:val="24"/>
          <w:shd w:val="clear" w:color="auto" w:fill="FFFFFF"/>
          <w:lang w:val="en-US" w:eastAsia="zh-CN"/>
        </w:rPr>
      </w:pPr>
      <w:bookmarkStart w:id="29" w:name="_Toc486580284"/>
      <w:bookmarkStart w:id="30" w:name="_Toc489280092"/>
      <w:bookmarkStart w:id="31" w:name="_Toc491149416"/>
      <w:bookmarkStart w:id="32" w:name="_Toc490331574"/>
      <w:bookmarkStart w:id="33" w:name="_Toc482206643"/>
      <w:bookmarkStart w:id="34" w:name="_Toc141541008"/>
      <w:bookmarkStart w:id="35" w:name="_Toc25749424"/>
      <w:r>
        <w:rPr>
          <w:rFonts w:hint="eastAsia" w:ascii="宋体" w:hAnsi="宋体" w:cs="宋体"/>
          <w:sz w:val="24"/>
          <w:szCs w:val="24"/>
          <w:shd w:val="clear" w:color="auto" w:fill="FFFFFF"/>
          <w:lang w:val="en-US" w:eastAsia="zh-CN"/>
        </w:rPr>
        <w:t>2、报名截止时间及电话</w:t>
      </w:r>
    </w:p>
    <w:p w14:paraId="7B92BCFB">
      <w:pPr>
        <w:spacing w:before="156" w:beforeLines="50" w:after="156" w:afterLines="50" w:line="360" w:lineRule="auto"/>
        <w:ind w:firstLine="480" w:firstLineChars="200"/>
        <w:outlineLvl w:val="1"/>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2024年12月26日16:00，电话</w:t>
      </w:r>
      <w:r>
        <w:rPr>
          <w:rFonts w:hint="eastAsia" w:ascii="宋体" w:hAnsi="宋体"/>
          <w:sz w:val="24"/>
          <w:szCs w:val="24"/>
          <w:u w:val="single"/>
          <w:shd w:val="clear" w:color="auto" w:fill="FFFFFF"/>
        </w:rPr>
        <w:t>010-88257755</w:t>
      </w:r>
      <w:r>
        <w:rPr>
          <w:rFonts w:hint="eastAsia" w:ascii="宋体" w:hAnsi="宋体"/>
          <w:sz w:val="24"/>
          <w:szCs w:val="24"/>
          <w:u w:val="single"/>
          <w:shd w:val="clear" w:color="auto" w:fill="FFFFFF"/>
          <w:lang w:val="en-US" w:eastAsia="zh-CN"/>
        </w:rPr>
        <w:t>转6262（王老师）</w:t>
      </w:r>
    </w:p>
    <w:p w14:paraId="1EEF6C7B">
      <w:pPr>
        <w:spacing w:before="156" w:beforeLines="50" w:after="156" w:afterLines="50" w:line="360" w:lineRule="auto"/>
        <w:ind w:firstLine="480" w:firstLineChars="200"/>
        <w:outlineLvl w:val="1"/>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lang w:val="en-US" w:eastAsia="zh-CN"/>
        </w:rPr>
        <w:t>3、</w:t>
      </w:r>
      <w:r>
        <w:rPr>
          <w:rFonts w:ascii="宋体" w:hAnsi="宋体" w:cs="宋体"/>
          <w:sz w:val="24"/>
          <w:szCs w:val="24"/>
          <w:shd w:val="clear" w:color="auto" w:fill="FFFFFF"/>
        </w:rPr>
        <w:t>文件的递交</w:t>
      </w:r>
      <w:bookmarkEnd w:id="29"/>
      <w:bookmarkEnd w:id="30"/>
      <w:bookmarkEnd w:id="31"/>
      <w:bookmarkEnd w:id="32"/>
      <w:bookmarkEnd w:id="33"/>
      <w:r>
        <w:rPr>
          <w:rFonts w:hint="eastAsia" w:ascii="宋体" w:hAnsi="宋体" w:cs="宋体"/>
          <w:sz w:val="24"/>
          <w:szCs w:val="24"/>
          <w:shd w:val="clear" w:color="auto" w:fill="FFFFFF"/>
        </w:rPr>
        <w:t>及</w:t>
      </w:r>
      <w:bookmarkEnd w:id="34"/>
      <w:bookmarkEnd w:id="35"/>
      <w:r>
        <w:rPr>
          <w:rFonts w:hint="eastAsia" w:ascii="宋体" w:hAnsi="宋体" w:cs="宋体"/>
          <w:sz w:val="24"/>
          <w:szCs w:val="24"/>
          <w:shd w:val="clear" w:color="auto" w:fill="FFFFFF"/>
          <w:lang w:val="en-US" w:eastAsia="zh-CN"/>
        </w:rPr>
        <w:t>评选</w:t>
      </w:r>
    </w:p>
    <w:p w14:paraId="0AD3FE81">
      <w:pPr>
        <w:wordWrap w:val="0"/>
        <w:spacing w:line="360" w:lineRule="auto"/>
        <w:ind w:firstLine="482" w:firstLineChars="201"/>
        <w:rPr>
          <w:rFonts w:ascii="宋体" w:hAnsi="宋体"/>
          <w:sz w:val="24"/>
          <w:szCs w:val="24"/>
          <w:shd w:val="clear" w:color="auto" w:fill="FFFFFF"/>
        </w:rPr>
      </w:pPr>
      <w:bookmarkStart w:id="36" w:name="_Hlk525661373"/>
      <w:r>
        <w:rPr>
          <w:rFonts w:ascii="宋体" w:hAnsi="宋体"/>
          <w:sz w:val="24"/>
          <w:szCs w:val="24"/>
          <w:shd w:val="clear" w:color="auto" w:fill="FFFFFF"/>
        </w:rPr>
        <w:t>文件递交的截止时间为</w:t>
      </w:r>
      <w:r>
        <w:rPr>
          <w:rFonts w:hint="eastAsia" w:ascii="宋体" w:hAnsi="宋体"/>
          <w:sz w:val="24"/>
          <w:szCs w:val="24"/>
          <w:u w:val="single"/>
          <w:shd w:val="clear" w:color="auto" w:fill="FFFFFF"/>
        </w:rPr>
        <w:t>202</w:t>
      </w:r>
      <w:r>
        <w:rPr>
          <w:rFonts w:hint="eastAsia" w:ascii="宋体" w:hAnsi="宋体"/>
          <w:sz w:val="24"/>
          <w:szCs w:val="24"/>
          <w:u w:val="single"/>
          <w:shd w:val="clear" w:color="auto" w:fill="FFFFFF"/>
          <w:lang w:val="en-US" w:eastAsia="zh-CN"/>
        </w:rPr>
        <w:t>5</w:t>
      </w:r>
      <w:r>
        <w:rPr>
          <w:rFonts w:ascii="宋体" w:hAnsi="宋体"/>
          <w:sz w:val="24"/>
          <w:szCs w:val="24"/>
          <w:shd w:val="clear" w:color="auto" w:fill="FFFFFF"/>
        </w:rPr>
        <w:t>年</w:t>
      </w:r>
      <w:r>
        <w:rPr>
          <w:rFonts w:hint="eastAsia" w:ascii="宋体" w:hAnsi="宋体"/>
          <w:sz w:val="24"/>
          <w:szCs w:val="24"/>
          <w:u w:val="single"/>
          <w:shd w:val="clear" w:color="auto" w:fill="FFFFFF"/>
          <w:lang w:val="en-US" w:eastAsia="zh-CN"/>
        </w:rPr>
        <w:t>1</w:t>
      </w:r>
      <w:r>
        <w:rPr>
          <w:rFonts w:ascii="宋体" w:hAnsi="宋体"/>
          <w:sz w:val="24"/>
          <w:szCs w:val="24"/>
          <w:shd w:val="clear" w:color="auto" w:fill="FFFFFF"/>
        </w:rPr>
        <w:t>月</w:t>
      </w:r>
      <w:r>
        <w:rPr>
          <w:rFonts w:hint="eastAsia" w:ascii="宋体" w:hAnsi="宋体"/>
          <w:sz w:val="24"/>
          <w:szCs w:val="24"/>
          <w:u w:val="single"/>
          <w:shd w:val="clear" w:color="auto" w:fill="FFFFFF"/>
          <w:lang w:val="en-US" w:eastAsia="zh-CN"/>
        </w:rPr>
        <w:t>9</w:t>
      </w:r>
      <w:r>
        <w:rPr>
          <w:rFonts w:ascii="宋体" w:hAnsi="宋体"/>
          <w:sz w:val="24"/>
          <w:szCs w:val="24"/>
          <w:shd w:val="clear" w:color="auto" w:fill="FFFFFF"/>
        </w:rPr>
        <w:t>日</w:t>
      </w:r>
      <w:r>
        <w:rPr>
          <w:rFonts w:hint="eastAsia" w:ascii="宋体" w:hAnsi="宋体"/>
          <w:sz w:val="24"/>
          <w:szCs w:val="24"/>
          <w:u w:val="single"/>
          <w:shd w:val="clear" w:color="auto" w:fill="FFFFFF"/>
          <w:lang w:val="en-US" w:eastAsia="zh-CN"/>
        </w:rPr>
        <w:t>9</w:t>
      </w:r>
      <w:r>
        <w:rPr>
          <w:rFonts w:ascii="宋体" w:hAnsi="宋体"/>
          <w:sz w:val="24"/>
          <w:szCs w:val="24"/>
          <w:shd w:val="clear" w:color="auto" w:fill="FFFFFF"/>
        </w:rPr>
        <w:t>时</w:t>
      </w:r>
      <w:r>
        <w:rPr>
          <w:rFonts w:hint="eastAsia" w:ascii="宋体" w:hAnsi="宋体"/>
          <w:sz w:val="24"/>
          <w:szCs w:val="24"/>
          <w:shd w:val="clear" w:color="auto" w:fill="FFFFFF"/>
          <w:lang w:val="en-US" w:eastAsia="zh-CN"/>
        </w:rPr>
        <w:t>3</w:t>
      </w:r>
      <w:r>
        <w:rPr>
          <w:rFonts w:ascii="宋体" w:hAnsi="宋体"/>
          <w:sz w:val="24"/>
          <w:szCs w:val="24"/>
          <w:u w:val="single"/>
          <w:shd w:val="clear" w:color="auto" w:fill="FFFFFF"/>
        </w:rPr>
        <w:t>0</w:t>
      </w:r>
      <w:r>
        <w:rPr>
          <w:rFonts w:ascii="宋体" w:hAnsi="宋体"/>
          <w:sz w:val="24"/>
          <w:szCs w:val="24"/>
          <w:shd w:val="clear" w:color="auto" w:fill="FFFFFF"/>
        </w:rPr>
        <w:t>分，地点为</w:t>
      </w:r>
      <w:r>
        <w:rPr>
          <w:rFonts w:hint="eastAsia" w:ascii="宋体" w:hAnsi="宋体"/>
          <w:sz w:val="24"/>
          <w:szCs w:val="24"/>
          <w:u w:val="single"/>
          <w:shd w:val="clear" w:color="auto" w:fill="FFFFFF"/>
        </w:rPr>
        <w:t>北京市石景山区石景山路5号</w:t>
      </w:r>
      <w:r>
        <w:rPr>
          <w:rFonts w:hint="eastAsia" w:ascii="宋体" w:hAnsi="宋体"/>
          <w:sz w:val="24"/>
          <w:szCs w:val="24"/>
          <w:u w:val="single"/>
          <w:shd w:val="clear" w:color="auto" w:fill="FFFFFF"/>
          <w:lang w:val="en-US" w:eastAsia="zh-CN"/>
        </w:rPr>
        <w:t>A楼二层专家会诊中心</w:t>
      </w:r>
      <w:r>
        <w:rPr>
          <w:rFonts w:ascii="宋体" w:hAnsi="宋体"/>
          <w:sz w:val="24"/>
          <w:szCs w:val="24"/>
          <w:shd w:val="clear" w:color="auto" w:fill="FFFFFF"/>
        </w:rPr>
        <w:t>（</w:t>
      </w:r>
      <w:r>
        <w:rPr>
          <w:rFonts w:hint="eastAsia" w:ascii="宋体" w:hAnsi="宋体"/>
          <w:sz w:val="24"/>
          <w:szCs w:val="24"/>
          <w:shd w:val="clear" w:color="auto" w:fill="FFFFFF"/>
        </w:rPr>
        <w:t>详细地址</w:t>
      </w:r>
      <w:r>
        <w:rPr>
          <w:rFonts w:ascii="宋体" w:hAnsi="宋体"/>
          <w:sz w:val="24"/>
          <w:szCs w:val="24"/>
          <w:shd w:val="clear" w:color="auto" w:fill="FFFFFF"/>
        </w:rPr>
        <w:t>）。</w:t>
      </w:r>
    </w:p>
    <w:p w14:paraId="5A90090D">
      <w:pPr>
        <w:tabs>
          <w:tab w:val="left" w:pos="360"/>
        </w:tabs>
        <w:spacing w:line="360" w:lineRule="auto"/>
        <w:ind w:firstLine="484" w:firstLineChars="202"/>
        <w:rPr>
          <w:rFonts w:ascii="宋体" w:hAnsi="宋体"/>
          <w:sz w:val="24"/>
          <w:szCs w:val="24"/>
          <w:shd w:val="clear" w:color="auto" w:fill="FFFFFF"/>
        </w:rPr>
      </w:pPr>
      <w:r>
        <w:rPr>
          <w:rFonts w:hint="eastAsia" w:ascii="宋体" w:hAnsi="宋体"/>
          <w:sz w:val="24"/>
          <w:szCs w:val="24"/>
          <w:shd w:val="clear" w:color="auto" w:fill="FFFFFF"/>
          <w:lang w:val="en-US" w:eastAsia="zh-CN"/>
        </w:rPr>
        <w:t>未通过电话报名，</w:t>
      </w:r>
      <w:r>
        <w:rPr>
          <w:rFonts w:ascii="宋体" w:hAnsi="宋体"/>
          <w:sz w:val="24"/>
          <w:szCs w:val="24"/>
          <w:shd w:val="clear" w:color="auto" w:fill="FFFFFF"/>
        </w:rPr>
        <w:t>逾期送达</w:t>
      </w:r>
      <w:r>
        <w:rPr>
          <w:rFonts w:hint="eastAsia" w:ascii="宋体" w:hAnsi="宋体"/>
          <w:sz w:val="24"/>
          <w:szCs w:val="24"/>
          <w:shd w:val="clear" w:color="auto" w:fill="FFFFFF"/>
        </w:rPr>
        <w:t>或密封不符合文件要求</w:t>
      </w:r>
      <w:r>
        <w:rPr>
          <w:rFonts w:ascii="宋体" w:hAnsi="宋体"/>
          <w:sz w:val="24"/>
          <w:szCs w:val="24"/>
          <w:shd w:val="clear" w:color="auto" w:fill="FFFFFF"/>
        </w:rPr>
        <w:t>的</w:t>
      </w:r>
      <w:r>
        <w:rPr>
          <w:rFonts w:hint="eastAsia" w:ascii="宋体" w:hAnsi="宋体"/>
          <w:sz w:val="24"/>
          <w:szCs w:val="24"/>
          <w:shd w:val="clear" w:color="auto" w:fill="FFFFFF"/>
          <w:lang w:val="en-US" w:eastAsia="zh-CN"/>
        </w:rPr>
        <w:t>比选</w:t>
      </w:r>
      <w:r>
        <w:rPr>
          <w:rFonts w:ascii="宋体" w:hAnsi="宋体"/>
          <w:sz w:val="24"/>
          <w:szCs w:val="24"/>
          <w:shd w:val="clear" w:color="auto" w:fill="FFFFFF"/>
        </w:rPr>
        <w:t>文件，</w:t>
      </w:r>
      <w:r>
        <w:rPr>
          <w:rFonts w:hint="eastAsia" w:ascii="宋体" w:hAnsi="宋体"/>
          <w:sz w:val="24"/>
          <w:szCs w:val="24"/>
          <w:shd w:val="clear" w:color="auto" w:fill="FFFFFF"/>
          <w:lang w:val="en-US" w:eastAsia="zh-CN"/>
        </w:rPr>
        <w:t>比选</w:t>
      </w:r>
      <w:r>
        <w:rPr>
          <w:rFonts w:ascii="宋体" w:hAnsi="宋体"/>
          <w:sz w:val="24"/>
          <w:szCs w:val="24"/>
          <w:shd w:val="clear" w:color="auto" w:fill="FFFFFF"/>
        </w:rPr>
        <w:t>人不予受理。</w:t>
      </w:r>
      <w:bookmarkEnd w:id="36"/>
    </w:p>
    <w:p w14:paraId="7D22C8A8">
      <w:pPr>
        <w:tabs>
          <w:tab w:val="left" w:pos="360"/>
        </w:tabs>
        <w:spacing w:line="360" w:lineRule="auto"/>
        <w:ind w:right="-545" w:rightChars="-227" w:firstLine="484" w:firstLineChars="202"/>
        <w:rPr>
          <w:rFonts w:ascii="宋体" w:hAnsi="宋体"/>
          <w:sz w:val="24"/>
          <w:szCs w:val="24"/>
          <w:shd w:val="clear" w:color="auto" w:fill="FFFFFF"/>
        </w:rPr>
      </w:pPr>
      <w:r>
        <w:rPr>
          <w:rFonts w:hint="eastAsia" w:ascii="宋体" w:hAnsi="宋体"/>
          <w:sz w:val="24"/>
          <w:szCs w:val="24"/>
          <w:shd w:val="clear" w:color="auto" w:fill="FFFFFF"/>
        </w:rPr>
        <w:t>开标时间</w:t>
      </w:r>
      <w:r>
        <w:rPr>
          <w:rFonts w:ascii="宋体" w:hAnsi="宋体"/>
          <w:sz w:val="24"/>
          <w:szCs w:val="24"/>
          <w:shd w:val="clear" w:color="auto" w:fill="FFFFFF"/>
        </w:rPr>
        <w:t>为</w:t>
      </w:r>
      <w:r>
        <w:rPr>
          <w:rFonts w:hint="eastAsia" w:ascii="宋体" w:hAnsi="宋体"/>
          <w:sz w:val="24"/>
          <w:szCs w:val="24"/>
          <w:u w:val="single"/>
          <w:shd w:val="clear" w:color="auto" w:fill="FFFFFF"/>
        </w:rPr>
        <w:t>202</w:t>
      </w:r>
      <w:r>
        <w:rPr>
          <w:rFonts w:hint="eastAsia" w:ascii="宋体" w:hAnsi="宋体"/>
          <w:sz w:val="24"/>
          <w:szCs w:val="24"/>
          <w:u w:val="single"/>
          <w:shd w:val="clear" w:color="auto" w:fill="FFFFFF"/>
          <w:lang w:val="en-US" w:eastAsia="zh-CN"/>
        </w:rPr>
        <w:t>5</w:t>
      </w:r>
      <w:r>
        <w:rPr>
          <w:rFonts w:ascii="宋体" w:hAnsi="宋体"/>
          <w:sz w:val="24"/>
          <w:szCs w:val="24"/>
          <w:shd w:val="clear" w:color="auto" w:fill="FFFFFF"/>
        </w:rPr>
        <w:t>年</w:t>
      </w:r>
      <w:r>
        <w:rPr>
          <w:rFonts w:hint="eastAsia" w:ascii="宋体" w:hAnsi="宋体"/>
          <w:sz w:val="24"/>
          <w:szCs w:val="24"/>
          <w:u w:val="single"/>
          <w:shd w:val="clear" w:color="auto" w:fill="FFFFFF"/>
          <w:lang w:val="en-US" w:eastAsia="zh-CN"/>
        </w:rPr>
        <w:t xml:space="preserve"> 1 </w:t>
      </w:r>
      <w:r>
        <w:rPr>
          <w:rFonts w:ascii="宋体" w:hAnsi="宋体"/>
          <w:sz w:val="24"/>
          <w:szCs w:val="24"/>
          <w:shd w:val="clear" w:color="auto" w:fill="FFFFFF"/>
        </w:rPr>
        <w:t>月</w:t>
      </w:r>
      <w:r>
        <w:rPr>
          <w:rFonts w:hint="eastAsia" w:ascii="宋体" w:hAnsi="宋体"/>
          <w:sz w:val="24"/>
          <w:szCs w:val="24"/>
          <w:u w:val="single"/>
          <w:shd w:val="clear" w:color="auto" w:fill="FFFFFF"/>
          <w:lang w:val="en-US" w:eastAsia="zh-CN"/>
        </w:rPr>
        <w:t xml:space="preserve"> 9 </w:t>
      </w:r>
      <w:r>
        <w:rPr>
          <w:rFonts w:ascii="宋体" w:hAnsi="宋体"/>
          <w:sz w:val="24"/>
          <w:szCs w:val="24"/>
          <w:shd w:val="clear" w:color="auto" w:fill="FFFFFF"/>
        </w:rPr>
        <w:t>日</w:t>
      </w:r>
      <w:r>
        <w:rPr>
          <w:rFonts w:hint="eastAsia" w:ascii="宋体" w:hAnsi="宋体"/>
          <w:sz w:val="24"/>
          <w:szCs w:val="24"/>
          <w:u w:val="single"/>
          <w:shd w:val="clear" w:color="auto" w:fill="FFFFFF"/>
          <w:lang w:val="en-US" w:eastAsia="zh-CN"/>
        </w:rPr>
        <w:t>9</w:t>
      </w:r>
      <w:r>
        <w:rPr>
          <w:rFonts w:ascii="宋体" w:hAnsi="宋体"/>
          <w:sz w:val="24"/>
          <w:szCs w:val="24"/>
          <w:shd w:val="clear" w:color="auto" w:fill="FFFFFF"/>
        </w:rPr>
        <w:t>时</w:t>
      </w:r>
      <w:r>
        <w:rPr>
          <w:rFonts w:hint="eastAsia" w:ascii="宋体" w:hAnsi="宋体"/>
          <w:sz w:val="24"/>
          <w:szCs w:val="24"/>
          <w:u w:val="single"/>
          <w:shd w:val="clear" w:color="auto" w:fill="FFFFFF"/>
          <w:lang w:val="en-US" w:eastAsia="zh-CN"/>
        </w:rPr>
        <w:t>3</w:t>
      </w:r>
      <w:r>
        <w:rPr>
          <w:rFonts w:ascii="宋体" w:hAnsi="宋体"/>
          <w:sz w:val="24"/>
          <w:szCs w:val="24"/>
          <w:u w:val="single"/>
          <w:shd w:val="clear" w:color="auto" w:fill="FFFFFF"/>
        </w:rPr>
        <w:t>0</w:t>
      </w:r>
      <w:r>
        <w:rPr>
          <w:rFonts w:ascii="宋体" w:hAnsi="宋体"/>
          <w:sz w:val="24"/>
          <w:szCs w:val="24"/>
          <w:shd w:val="clear" w:color="auto" w:fill="FFFFFF"/>
        </w:rPr>
        <w:t>分，地点为</w:t>
      </w:r>
      <w:r>
        <w:rPr>
          <w:rFonts w:hint="eastAsia" w:ascii="宋体" w:hAnsi="宋体"/>
          <w:sz w:val="24"/>
          <w:szCs w:val="24"/>
          <w:u w:val="single"/>
          <w:shd w:val="clear" w:color="auto" w:fill="FFFFFF"/>
        </w:rPr>
        <w:t>北京市石景山区石景山路5号</w:t>
      </w:r>
      <w:r>
        <w:rPr>
          <w:rFonts w:hint="eastAsia" w:ascii="宋体" w:hAnsi="宋体"/>
          <w:sz w:val="24"/>
          <w:szCs w:val="24"/>
          <w:u w:val="single"/>
          <w:shd w:val="clear" w:color="auto" w:fill="FFFFFF"/>
          <w:lang w:val="en-US" w:eastAsia="zh-CN"/>
        </w:rPr>
        <w:t>A楼二层专家会诊中心</w:t>
      </w:r>
      <w:r>
        <w:rPr>
          <w:rFonts w:ascii="宋体" w:hAnsi="宋体"/>
          <w:sz w:val="24"/>
          <w:szCs w:val="24"/>
          <w:shd w:val="clear" w:color="auto" w:fill="FFFFFF"/>
        </w:rPr>
        <w:t>（</w:t>
      </w:r>
      <w:r>
        <w:rPr>
          <w:rFonts w:hint="eastAsia" w:ascii="宋体" w:hAnsi="宋体"/>
          <w:sz w:val="24"/>
          <w:szCs w:val="24"/>
          <w:shd w:val="clear" w:color="auto" w:fill="FFFFFF"/>
        </w:rPr>
        <w:t>详细地址</w:t>
      </w:r>
      <w:r>
        <w:rPr>
          <w:rFonts w:ascii="宋体" w:hAnsi="宋体"/>
          <w:sz w:val="24"/>
          <w:szCs w:val="24"/>
          <w:shd w:val="clear" w:color="auto" w:fill="FFFFFF"/>
        </w:rPr>
        <w:t>）。</w:t>
      </w:r>
    </w:p>
    <w:p w14:paraId="0CEC9950">
      <w:pPr>
        <w:spacing w:before="156" w:beforeLines="50" w:after="156" w:afterLines="50" w:line="360" w:lineRule="auto"/>
        <w:ind w:firstLine="480" w:firstLineChars="200"/>
        <w:outlineLvl w:val="1"/>
        <w:rPr>
          <w:rFonts w:ascii="宋体" w:hAnsi="宋体" w:cs="宋体"/>
          <w:sz w:val="24"/>
          <w:szCs w:val="24"/>
          <w:shd w:val="clear" w:color="auto" w:fill="FFFFFF"/>
        </w:rPr>
      </w:pPr>
      <w:bookmarkStart w:id="37" w:name="_Toc489280093"/>
      <w:bookmarkStart w:id="38" w:name="_Toc491149417"/>
      <w:bookmarkStart w:id="39" w:name="_Toc486580285"/>
      <w:bookmarkStart w:id="40" w:name="_Toc490331575"/>
      <w:bookmarkStart w:id="41" w:name="_Toc141541009"/>
      <w:bookmarkStart w:id="42" w:name="_Toc25749425"/>
      <w:bookmarkStart w:id="43" w:name="_Toc482206644"/>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发布公告的媒介</w:t>
      </w:r>
      <w:bookmarkEnd w:id="37"/>
      <w:bookmarkEnd w:id="38"/>
      <w:bookmarkEnd w:id="39"/>
      <w:bookmarkEnd w:id="40"/>
      <w:bookmarkEnd w:id="41"/>
      <w:bookmarkEnd w:id="42"/>
      <w:bookmarkEnd w:id="43"/>
    </w:p>
    <w:p w14:paraId="6B91E16D">
      <w:pPr>
        <w:wordWrap w:val="0"/>
        <w:spacing w:line="360" w:lineRule="auto"/>
        <w:ind w:firstLine="484" w:firstLineChars="202"/>
        <w:rPr>
          <w:rFonts w:ascii="宋体" w:hAnsi="宋体"/>
          <w:sz w:val="24"/>
          <w:szCs w:val="24"/>
          <w:shd w:val="clear" w:color="auto" w:fill="FFFFFF"/>
        </w:rPr>
      </w:pPr>
      <w:r>
        <w:rPr>
          <w:rFonts w:hint="eastAsia" w:ascii="宋体" w:hAnsi="宋体"/>
          <w:sz w:val="24"/>
          <w:szCs w:val="24"/>
          <w:shd w:val="clear" w:color="auto" w:fill="FFFFFF"/>
        </w:rPr>
        <w:t>本公告在</w:t>
      </w:r>
      <w:r>
        <w:rPr>
          <w:rFonts w:hint="eastAsia" w:ascii="宋体" w:hAnsi="宋体" w:cs="Arial"/>
          <w:color w:val="000000"/>
          <w:sz w:val="24"/>
          <w:szCs w:val="24"/>
        </w:rPr>
        <w:t>清华大学玉泉医院（清华大学中西医结合医院）官网</w:t>
      </w:r>
      <w:r>
        <w:rPr>
          <w:rFonts w:hint="eastAsia" w:ascii="宋体" w:hAnsi="宋体"/>
          <w:sz w:val="24"/>
          <w:szCs w:val="24"/>
          <w:shd w:val="clear" w:color="auto" w:fill="FFFFFF"/>
        </w:rPr>
        <w:t>发布。</w:t>
      </w:r>
    </w:p>
    <w:p w14:paraId="07E501CD">
      <w:pPr>
        <w:spacing w:before="156" w:beforeLines="50" w:after="156" w:afterLines="50" w:line="360" w:lineRule="auto"/>
        <w:ind w:firstLine="480" w:firstLineChars="200"/>
        <w:outlineLvl w:val="1"/>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5、</w:t>
      </w:r>
      <w:r>
        <w:rPr>
          <w:rFonts w:hint="eastAsia" w:ascii="宋体" w:hAnsi="宋体" w:cs="宋体"/>
          <w:sz w:val="24"/>
          <w:szCs w:val="24"/>
          <w:shd w:val="clear" w:color="auto" w:fill="FFFFFF"/>
        </w:rPr>
        <w:t>项目联系人及联系方式</w:t>
      </w:r>
    </w:p>
    <w:p w14:paraId="6F6F30FA">
      <w:pPr>
        <w:spacing w:before="156" w:beforeLines="50" w:after="156" w:afterLines="50" w:line="360" w:lineRule="auto"/>
        <w:ind w:firstLine="480" w:firstLineChars="200"/>
        <w:outlineLvl w:val="1"/>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招标</w:t>
      </w:r>
      <w:r>
        <w:rPr>
          <w:rFonts w:hint="eastAsia" w:ascii="宋体" w:hAnsi="宋体" w:cs="宋体"/>
          <w:sz w:val="24"/>
          <w:szCs w:val="24"/>
          <w:shd w:val="clear" w:color="auto" w:fill="FFFFFF"/>
        </w:rPr>
        <w:t>人</w:t>
      </w:r>
      <w:r>
        <w:rPr>
          <w:rFonts w:ascii="宋体" w:hAnsi="宋体" w:cs="宋体"/>
          <w:sz w:val="24"/>
          <w:szCs w:val="24"/>
          <w:shd w:val="clear" w:color="auto" w:fill="FFFFFF"/>
        </w:rPr>
        <w:t>：</w:t>
      </w:r>
      <w:r>
        <w:rPr>
          <w:rFonts w:hint="eastAsia" w:ascii="宋体" w:hAnsi="宋体" w:cs="宋体"/>
          <w:sz w:val="24"/>
          <w:szCs w:val="24"/>
          <w:shd w:val="clear" w:color="auto" w:fill="FFFFFF"/>
        </w:rPr>
        <w:t>清华大学玉泉医院（清华大学中西医结合医院）</w:t>
      </w:r>
    </w:p>
    <w:p w14:paraId="4334B432">
      <w:pPr>
        <w:spacing w:before="156" w:beforeLines="50" w:after="156" w:afterLines="50" w:line="360" w:lineRule="auto"/>
        <w:ind w:firstLine="480" w:firstLineChars="200"/>
        <w:outlineLvl w:val="1"/>
      </w:pPr>
      <w:r>
        <w:rPr>
          <w:rFonts w:hint="eastAsia" w:ascii="宋体" w:hAnsi="宋体" w:cs="宋体"/>
          <w:sz w:val="24"/>
          <w:szCs w:val="24"/>
          <w:shd w:val="clear" w:color="auto" w:fill="FFFFFF"/>
        </w:rPr>
        <w:t>联系电话：010-88257755</w:t>
      </w:r>
      <w:r>
        <w:rPr>
          <w:rFonts w:hint="eastAsia" w:ascii="宋体" w:hAnsi="宋体" w:cs="宋体"/>
          <w:sz w:val="24"/>
          <w:szCs w:val="24"/>
          <w:shd w:val="clear" w:color="auto" w:fill="FFFFFF"/>
          <w:lang w:val="en-US" w:eastAsia="zh-CN"/>
        </w:rPr>
        <w:t>转8295（张老师）</w:t>
      </w:r>
    </w:p>
    <w:p w14:paraId="61A7EB7E">
      <w:pPr>
        <w:rPr>
          <w:rFonts w:hint="eastAsia"/>
        </w:rPr>
      </w:pPr>
    </w:p>
    <w:p w14:paraId="350AD890">
      <w:pPr>
        <w:pStyle w:val="2"/>
        <w:tabs>
          <w:tab w:val="left" w:pos="900"/>
          <w:tab w:val="left" w:pos="990"/>
          <w:tab w:val="clear" w:pos="668"/>
        </w:tabs>
        <w:spacing w:before="120" w:beforeLines="50" w:after="120" w:afterLines="50" w:line="360" w:lineRule="auto"/>
        <w:rPr>
          <w:b w:val="0"/>
          <w:bCs/>
          <w:color w:val="auto"/>
          <w:szCs w:val="24"/>
        </w:rPr>
        <w:sectPr>
          <w:headerReference r:id="rId6" w:type="default"/>
          <w:footerReference r:id="rId7" w:type="default"/>
          <w:pgSz w:w="11906" w:h="16838"/>
          <w:pgMar w:top="1440" w:right="1800" w:bottom="1440" w:left="1800" w:header="568" w:footer="680" w:gutter="0"/>
          <w:pgNumType w:fmt="numberInDash" w:start="1"/>
          <w:cols w:space="720" w:num="1"/>
          <w:docGrid w:linePitch="326" w:charSpace="0"/>
        </w:sectPr>
      </w:pPr>
    </w:p>
    <w:bookmarkEnd w:id="8"/>
    <w:bookmarkEnd w:id="9"/>
    <w:bookmarkEnd w:id="10"/>
    <w:bookmarkEnd w:id="11"/>
    <w:bookmarkEnd w:id="12"/>
    <w:bookmarkEnd w:id="13"/>
    <w:bookmarkEnd w:id="14"/>
    <w:bookmarkEnd w:id="15"/>
    <w:p w14:paraId="06CD3241">
      <w:pPr>
        <w:pStyle w:val="3"/>
        <w:keepNext w:val="0"/>
        <w:keepLines w:val="0"/>
        <w:numPr>
          <w:ilvl w:val="0"/>
          <w:numId w:val="1"/>
        </w:numPr>
        <w:tabs>
          <w:tab w:val="left" w:pos="1701"/>
        </w:tabs>
        <w:spacing w:before="0" w:after="0" w:line="240" w:lineRule="auto"/>
        <w:jc w:val="center"/>
        <w:rPr>
          <w:rFonts w:hAnsi="宋体"/>
          <w:bCs w:val="0"/>
          <w:color w:val="auto"/>
          <w:sz w:val="36"/>
          <w:szCs w:val="36"/>
        </w:rPr>
      </w:pPr>
      <w:bookmarkStart w:id="44" w:name="_Toc168175760"/>
      <w:bookmarkStart w:id="45" w:name="_Toc17472619"/>
      <w:bookmarkStart w:id="46" w:name="_Toc32637735"/>
      <w:bookmarkStart w:id="47" w:name="_Toc148939713"/>
      <w:bookmarkStart w:id="48" w:name="_Toc17479553"/>
      <w:bookmarkStart w:id="49" w:name="_Toc17470231"/>
      <w:bookmarkStart w:id="50" w:name="_Toc33215071"/>
      <w:bookmarkStart w:id="51" w:name="_Toc148939874"/>
      <w:bookmarkStart w:id="52" w:name="_Toc27371541"/>
      <w:bookmarkStart w:id="53" w:name="_Toc334023304"/>
      <w:bookmarkStart w:id="54" w:name="_Toc361335179"/>
      <w:bookmarkStart w:id="55" w:name="_Toc48966880"/>
      <w:bookmarkStart w:id="56" w:name="_Toc66555395"/>
      <w:bookmarkStart w:id="57" w:name="_Toc34843834"/>
      <w:r>
        <w:rPr>
          <w:rFonts w:hint="eastAsia" w:hAnsi="宋体"/>
          <w:bCs w:val="0"/>
          <w:color w:val="auto"/>
          <w:sz w:val="36"/>
          <w:szCs w:val="36"/>
        </w:rPr>
        <w:t>比选须知及评审</w:t>
      </w:r>
      <w:bookmarkEnd w:id="44"/>
    </w:p>
    <w:bookmarkEnd w:id="45"/>
    <w:bookmarkEnd w:id="46"/>
    <w:bookmarkEnd w:id="47"/>
    <w:bookmarkEnd w:id="48"/>
    <w:bookmarkEnd w:id="49"/>
    <w:bookmarkEnd w:id="50"/>
    <w:bookmarkEnd w:id="51"/>
    <w:bookmarkEnd w:id="52"/>
    <w:bookmarkEnd w:id="53"/>
    <w:bookmarkEnd w:id="54"/>
    <w:bookmarkEnd w:id="55"/>
    <w:bookmarkEnd w:id="56"/>
    <w:bookmarkEnd w:id="57"/>
    <w:p w14:paraId="5CC7F4F4">
      <w:pPr>
        <w:pStyle w:val="2"/>
        <w:spacing w:before="0" w:after="0" w:line="360" w:lineRule="auto"/>
        <w:rPr>
          <w:rFonts w:ascii="宋体" w:hAnsi="宋体" w:cs="仿宋"/>
          <w:szCs w:val="24"/>
        </w:rPr>
      </w:pPr>
      <w:bookmarkStart w:id="58" w:name="_Toc385992326"/>
      <w:bookmarkStart w:id="59" w:name="_Toc23859182"/>
      <w:r>
        <w:rPr>
          <w:rFonts w:hint="eastAsia" w:ascii="宋体" w:hAnsi="宋体" w:cs="仿宋"/>
          <w:szCs w:val="24"/>
        </w:rPr>
        <w:t>一、总 则</w:t>
      </w:r>
      <w:bookmarkEnd w:id="58"/>
      <w:bookmarkEnd w:id="59"/>
    </w:p>
    <w:p w14:paraId="115F7AB1">
      <w:pPr>
        <w:pStyle w:val="4"/>
        <w:spacing w:before="0" w:after="0" w:line="360" w:lineRule="auto"/>
        <w:rPr>
          <w:rStyle w:val="15"/>
          <w:rFonts w:ascii="宋体" w:hAnsi="宋体" w:eastAsia="宋体" w:cs="仿宋"/>
          <w:b w:val="0"/>
          <w:bCs/>
          <w:sz w:val="24"/>
          <w:szCs w:val="24"/>
        </w:rPr>
      </w:pPr>
      <w:bookmarkStart w:id="60" w:name="_Toc23859183"/>
      <w:bookmarkStart w:id="61" w:name="_Toc385992327"/>
      <w:r>
        <w:rPr>
          <w:rStyle w:val="15"/>
          <w:rFonts w:hint="eastAsia" w:ascii="宋体" w:hAnsi="宋体" w:eastAsia="宋体" w:cs="仿宋"/>
          <w:b w:val="0"/>
          <w:bCs/>
          <w:sz w:val="24"/>
          <w:szCs w:val="24"/>
        </w:rPr>
        <w:t>1.适用范围</w:t>
      </w:r>
      <w:bookmarkEnd w:id="60"/>
    </w:p>
    <w:bookmarkEnd w:id="61"/>
    <w:p w14:paraId="5FA57EE7">
      <w:pPr>
        <w:numPr>
          <w:ilvl w:val="0"/>
          <w:numId w:val="0"/>
        </w:numPr>
        <w:adjustRightInd w:val="0"/>
        <w:snapToGrid w:val="0"/>
        <w:spacing w:line="360" w:lineRule="auto"/>
        <w:ind w:firstLine="480" w:firstLineChars="200"/>
        <w:rPr>
          <w:rFonts w:ascii="宋体" w:hAnsi="宋体" w:cs="仿宋"/>
        </w:rPr>
      </w:pPr>
      <w:r>
        <w:rPr>
          <w:rFonts w:hint="eastAsia" w:ascii="宋体" w:hAnsi="宋体" w:cs="仿宋"/>
        </w:rPr>
        <w:t>本比选文件仅适用于本项目比选邀请书中所叙述的</w:t>
      </w:r>
      <w:r>
        <w:rPr>
          <w:rFonts w:hint="eastAsia" w:ascii="宋体" w:hAnsi="宋体"/>
          <w:u w:val="single"/>
        </w:rPr>
        <w:t>清华大学玉泉医院（清华大学中西医结合医院）医疗废物清运处置项目</w:t>
      </w:r>
      <w:r>
        <w:rPr>
          <w:rFonts w:hint="eastAsia" w:ascii="宋体" w:hAnsi="宋体" w:cs="仿宋"/>
        </w:rPr>
        <w:t>。</w:t>
      </w:r>
      <w:bookmarkStart w:id="62" w:name="_Toc385992328"/>
    </w:p>
    <w:p w14:paraId="761855D4">
      <w:pPr>
        <w:pStyle w:val="4"/>
        <w:spacing w:before="0" w:after="0" w:line="360" w:lineRule="auto"/>
        <w:rPr>
          <w:rStyle w:val="15"/>
          <w:rFonts w:ascii="宋体" w:hAnsi="宋体" w:eastAsia="宋体" w:cs="仿宋"/>
          <w:b w:val="0"/>
          <w:bCs/>
          <w:sz w:val="24"/>
          <w:szCs w:val="24"/>
        </w:rPr>
      </w:pPr>
      <w:bookmarkStart w:id="63" w:name="_Toc23859184"/>
      <w:r>
        <w:rPr>
          <w:rStyle w:val="15"/>
          <w:rFonts w:hint="eastAsia" w:ascii="宋体" w:hAnsi="宋体" w:eastAsia="宋体" w:cs="仿宋"/>
          <w:b w:val="0"/>
          <w:bCs/>
          <w:sz w:val="24"/>
          <w:szCs w:val="24"/>
        </w:rPr>
        <w:t>2.定义</w:t>
      </w:r>
      <w:bookmarkEnd w:id="62"/>
      <w:bookmarkEnd w:id="63"/>
    </w:p>
    <w:p w14:paraId="6A5B67C7">
      <w:pPr>
        <w:numPr>
          <w:ilvl w:val="0"/>
          <w:numId w:val="2"/>
        </w:numPr>
        <w:adjustRightInd w:val="0"/>
        <w:snapToGrid w:val="0"/>
        <w:spacing w:line="360" w:lineRule="auto"/>
        <w:ind w:left="0" w:firstLine="972" w:firstLineChars="405"/>
        <w:rPr>
          <w:rFonts w:ascii="宋体" w:hAnsi="宋体" w:cs="仿宋"/>
        </w:rPr>
      </w:pPr>
      <w:r>
        <w:rPr>
          <w:rFonts w:hint="eastAsia" w:ascii="宋体" w:hAnsi="宋体" w:cs="仿宋"/>
        </w:rPr>
        <w:t>比选人：系指依照法规规定提出项目的法人或者其他组织。</w:t>
      </w:r>
    </w:p>
    <w:p w14:paraId="16D930E8">
      <w:pPr>
        <w:numPr>
          <w:ilvl w:val="0"/>
          <w:numId w:val="2"/>
        </w:numPr>
        <w:adjustRightInd w:val="0"/>
        <w:snapToGrid w:val="0"/>
        <w:spacing w:line="360" w:lineRule="auto"/>
        <w:ind w:left="0" w:firstLine="972" w:firstLineChars="405"/>
        <w:rPr>
          <w:rFonts w:ascii="宋体" w:hAnsi="宋体" w:cs="仿宋"/>
        </w:rPr>
      </w:pPr>
      <w:r>
        <w:rPr>
          <w:rFonts w:hint="eastAsia" w:ascii="宋体" w:hAnsi="宋体" w:cs="仿宋"/>
        </w:rPr>
        <w:t>参选人：系指响应比选要求，向比选人提交响应文件的供应商。</w:t>
      </w:r>
    </w:p>
    <w:p w14:paraId="59F65EB3">
      <w:pPr>
        <w:numPr>
          <w:ilvl w:val="0"/>
          <w:numId w:val="2"/>
        </w:numPr>
        <w:adjustRightInd w:val="0"/>
        <w:snapToGrid w:val="0"/>
        <w:spacing w:line="360" w:lineRule="auto"/>
        <w:ind w:left="0" w:firstLine="972" w:firstLineChars="405"/>
        <w:rPr>
          <w:rFonts w:ascii="宋体" w:hAnsi="宋体" w:cs="仿宋"/>
        </w:rPr>
      </w:pPr>
      <w:r>
        <w:rPr>
          <w:rFonts w:hint="eastAsia" w:ascii="宋体" w:hAnsi="宋体" w:cs="仿宋"/>
        </w:rPr>
        <w:t>比选文件：由比选人结合项目的特点和需要，对参与响应的供应商提出的要约。</w:t>
      </w:r>
    </w:p>
    <w:p w14:paraId="0E61B97D">
      <w:pPr>
        <w:numPr>
          <w:ilvl w:val="0"/>
          <w:numId w:val="2"/>
        </w:numPr>
        <w:spacing w:line="360" w:lineRule="auto"/>
        <w:ind w:left="0" w:firstLine="972" w:firstLineChars="405"/>
        <w:rPr>
          <w:rFonts w:ascii="宋体" w:hAnsi="宋体" w:cs="仿宋"/>
        </w:rPr>
      </w:pPr>
      <w:r>
        <w:rPr>
          <w:rFonts w:hint="eastAsia" w:ascii="宋体" w:hAnsi="宋体" w:cs="仿宋"/>
        </w:rPr>
        <w:t>响应文件：指参选人应比选文件要求编制的文件，一般由商务文件、技术文件和其他文件组成。</w:t>
      </w:r>
    </w:p>
    <w:p w14:paraId="1C6FC804">
      <w:pPr>
        <w:numPr>
          <w:ilvl w:val="0"/>
          <w:numId w:val="2"/>
        </w:numPr>
        <w:spacing w:line="360" w:lineRule="auto"/>
        <w:ind w:left="0" w:firstLine="972" w:firstLineChars="405"/>
        <w:rPr>
          <w:rFonts w:ascii="宋体" w:hAnsi="宋体" w:cs="仿宋"/>
        </w:rPr>
      </w:pPr>
      <w:r>
        <w:rPr>
          <w:rFonts w:hint="eastAsia" w:ascii="宋体" w:hAnsi="宋体" w:cs="仿宋"/>
        </w:rPr>
        <w:t>签字：</w:t>
      </w:r>
      <w:r>
        <w:rPr>
          <w:rFonts w:hint="eastAsia"/>
          <w:bCs/>
        </w:rPr>
        <w:t>指签字人亲笔签字或加盖签字人的人名章或手签章。</w:t>
      </w:r>
    </w:p>
    <w:p w14:paraId="52D3F888">
      <w:pPr>
        <w:pStyle w:val="4"/>
        <w:spacing w:before="0" w:after="0" w:line="360" w:lineRule="auto"/>
        <w:rPr>
          <w:rStyle w:val="15"/>
          <w:rFonts w:ascii="宋体" w:hAnsi="宋体" w:eastAsia="宋体" w:cs="仿宋"/>
          <w:b w:val="0"/>
          <w:bCs/>
          <w:sz w:val="24"/>
          <w:szCs w:val="24"/>
        </w:rPr>
      </w:pPr>
      <w:bookmarkStart w:id="64" w:name="_Toc295443699"/>
      <w:bookmarkEnd w:id="64"/>
      <w:bookmarkStart w:id="65" w:name="_Toc385992329"/>
      <w:bookmarkStart w:id="66" w:name="_Toc23859185"/>
      <w:r>
        <w:rPr>
          <w:rStyle w:val="15"/>
          <w:rFonts w:hint="eastAsia" w:ascii="宋体" w:hAnsi="宋体" w:eastAsia="宋体" w:cs="仿宋"/>
          <w:b w:val="0"/>
          <w:bCs/>
          <w:sz w:val="24"/>
          <w:szCs w:val="24"/>
        </w:rPr>
        <w:t>3.合格的</w:t>
      </w:r>
      <w:bookmarkEnd w:id="65"/>
      <w:bookmarkEnd w:id="66"/>
      <w:r>
        <w:rPr>
          <w:rStyle w:val="15"/>
          <w:rFonts w:hint="eastAsia" w:ascii="宋体" w:hAnsi="宋体" w:eastAsia="宋体" w:cs="仿宋"/>
          <w:b w:val="0"/>
          <w:bCs/>
          <w:sz w:val="24"/>
          <w:szCs w:val="24"/>
        </w:rPr>
        <w:t>供应商</w:t>
      </w:r>
    </w:p>
    <w:p w14:paraId="61455A78">
      <w:pPr>
        <w:spacing w:line="360" w:lineRule="auto"/>
        <w:ind w:left="161" w:leftChars="67" w:firstLine="240" w:firstLineChars="100"/>
        <w:rPr>
          <w:rFonts w:ascii="宋体" w:hAnsi="宋体" w:cs="仿宋"/>
        </w:rPr>
      </w:pPr>
      <w:bookmarkStart w:id="67" w:name="_Toc385992330"/>
      <w:r>
        <w:rPr>
          <w:rFonts w:hint="eastAsia" w:ascii="宋体" w:hAnsi="宋体" w:cs="仿宋"/>
        </w:rPr>
        <w:t>详见第一章“比选邀请”。</w:t>
      </w:r>
    </w:p>
    <w:bookmarkEnd w:id="67"/>
    <w:p w14:paraId="4D274FB0">
      <w:pPr>
        <w:pStyle w:val="2"/>
        <w:spacing w:before="0" w:after="0" w:line="360" w:lineRule="auto"/>
        <w:rPr>
          <w:rFonts w:ascii="宋体" w:hAnsi="宋体" w:cs="仿宋"/>
          <w:szCs w:val="24"/>
        </w:rPr>
      </w:pPr>
      <w:bookmarkStart w:id="68" w:name="_Toc23859186"/>
      <w:bookmarkStart w:id="69" w:name="_Toc385992335"/>
      <w:r>
        <w:rPr>
          <w:rFonts w:hint="eastAsia" w:ascii="宋体" w:hAnsi="宋体" w:cs="仿宋"/>
          <w:szCs w:val="24"/>
        </w:rPr>
        <w:t>二、响应文件的编写</w:t>
      </w:r>
      <w:bookmarkEnd w:id="68"/>
      <w:bookmarkEnd w:id="69"/>
      <w:bookmarkStart w:id="70" w:name="_Toc389620176"/>
      <w:bookmarkStart w:id="71" w:name="_Toc385992337"/>
    </w:p>
    <w:bookmarkEnd w:id="70"/>
    <w:bookmarkEnd w:id="71"/>
    <w:p w14:paraId="7E22EE1D">
      <w:pPr>
        <w:pStyle w:val="4"/>
        <w:spacing w:before="0" w:after="0" w:line="360" w:lineRule="auto"/>
        <w:rPr>
          <w:rStyle w:val="15"/>
          <w:rFonts w:ascii="宋体" w:hAnsi="宋体" w:eastAsia="宋体" w:cs="仿宋"/>
          <w:b w:val="0"/>
          <w:bCs/>
          <w:sz w:val="24"/>
          <w:szCs w:val="24"/>
        </w:rPr>
      </w:pPr>
      <w:bookmarkStart w:id="72" w:name="_Toc385992338"/>
      <w:bookmarkStart w:id="73" w:name="_Toc23859187"/>
      <w:bookmarkStart w:id="74" w:name="_Toc23761051"/>
      <w:r>
        <w:rPr>
          <w:rStyle w:val="15"/>
          <w:rFonts w:hint="eastAsia" w:ascii="宋体" w:hAnsi="宋体" w:eastAsia="宋体" w:cs="仿宋"/>
          <w:b w:val="0"/>
          <w:bCs/>
          <w:sz w:val="24"/>
          <w:szCs w:val="24"/>
        </w:rPr>
        <w:t>4.响应文件的组成</w:t>
      </w:r>
      <w:bookmarkEnd w:id="72"/>
      <w:bookmarkEnd w:id="73"/>
    </w:p>
    <w:bookmarkEnd w:id="74"/>
    <w:p w14:paraId="12761F31">
      <w:pPr>
        <w:adjustRightInd w:val="0"/>
        <w:snapToGrid w:val="0"/>
        <w:spacing w:line="360" w:lineRule="auto"/>
        <w:ind w:firstLine="484" w:firstLineChars="202"/>
        <w:rPr>
          <w:rFonts w:ascii="宋体" w:hAnsi="宋体" w:cs="仿宋"/>
        </w:rPr>
      </w:pPr>
      <w:r>
        <w:rPr>
          <w:rFonts w:hint="eastAsia" w:ascii="宋体" w:hAnsi="宋体" w:cs="仿宋"/>
        </w:rPr>
        <w:t>4.1商务部分</w:t>
      </w:r>
    </w:p>
    <w:p w14:paraId="0A37C85D">
      <w:pPr>
        <w:adjustRightInd w:val="0"/>
        <w:snapToGrid w:val="0"/>
        <w:spacing w:line="360" w:lineRule="auto"/>
        <w:ind w:firstLine="484" w:firstLineChars="202"/>
        <w:rPr>
          <w:rFonts w:ascii="宋体" w:hAnsi="宋体" w:cs="仿宋"/>
        </w:rPr>
      </w:pPr>
      <w:r>
        <w:rPr>
          <w:rFonts w:hint="eastAsia" w:ascii="宋体" w:hAnsi="宋体" w:cs="仿宋"/>
        </w:rPr>
        <w:t>4.1.1报价函（响应文件格式1）；</w:t>
      </w:r>
    </w:p>
    <w:p w14:paraId="1CB2ADC3">
      <w:pPr>
        <w:adjustRightInd w:val="0"/>
        <w:snapToGrid w:val="0"/>
        <w:spacing w:line="360" w:lineRule="auto"/>
        <w:ind w:firstLine="484" w:firstLineChars="202"/>
        <w:rPr>
          <w:rFonts w:ascii="宋体" w:hAnsi="宋体" w:cs="仿宋"/>
        </w:rPr>
      </w:pPr>
      <w:r>
        <w:rPr>
          <w:rFonts w:hint="eastAsia" w:ascii="宋体" w:hAnsi="宋体" w:cs="仿宋"/>
        </w:rPr>
        <w:t>4.1.2法定代表人授权委托书（响应文件格式2）；</w:t>
      </w:r>
    </w:p>
    <w:p w14:paraId="47AC9A85">
      <w:pPr>
        <w:adjustRightInd w:val="0"/>
        <w:snapToGrid w:val="0"/>
        <w:spacing w:line="360" w:lineRule="auto"/>
        <w:ind w:firstLine="484" w:firstLineChars="202"/>
        <w:rPr>
          <w:rFonts w:hint="eastAsia" w:ascii="宋体" w:hAnsi="宋体" w:cs="仿宋"/>
        </w:rPr>
      </w:pPr>
      <w:r>
        <w:rPr>
          <w:rFonts w:hint="eastAsia" w:ascii="宋体" w:hAnsi="宋体" w:cs="仿宋"/>
        </w:rPr>
        <w:t>4.1.3服务响应偏离表（响应文件格式3）；</w:t>
      </w:r>
    </w:p>
    <w:p w14:paraId="5A7C84F2">
      <w:pPr>
        <w:adjustRightInd w:val="0"/>
        <w:snapToGrid w:val="0"/>
        <w:spacing w:line="360" w:lineRule="auto"/>
        <w:ind w:firstLine="484" w:firstLineChars="202"/>
        <w:rPr>
          <w:rFonts w:ascii="宋体" w:hAnsi="宋体" w:cs="仿宋"/>
        </w:rPr>
      </w:pPr>
      <w:r>
        <w:rPr>
          <w:rFonts w:hint="eastAsia" w:ascii="宋体" w:hAnsi="宋体" w:cs="仿宋"/>
        </w:rPr>
        <w:t>4.1.4参选人简介；</w:t>
      </w:r>
    </w:p>
    <w:p w14:paraId="7557DBE6">
      <w:pPr>
        <w:adjustRightInd w:val="0"/>
        <w:snapToGrid w:val="0"/>
        <w:spacing w:line="360" w:lineRule="auto"/>
        <w:ind w:firstLine="484" w:firstLineChars="202"/>
        <w:rPr>
          <w:rFonts w:ascii="宋体" w:hAnsi="宋体" w:cs="仿宋"/>
        </w:rPr>
      </w:pPr>
      <w:r>
        <w:rPr>
          <w:rFonts w:hint="eastAsia" w:ascii="宋体" w:hAnsi="宋体" w:cs="仿宋"/>
        </w:rPr>
        <w:t>4.1.5参选人业绩；</w:t>
      </w:r>
    </w:p>
    <w:p w14:paraId="3B824819">
      <w:pPr>
        <w:adjustRightInd w:val="0"/>
        <w:snapToGrid w:val="0"/>
        <w:spacing w:line="360" w:lineRule="auto"/>
        <w:ind w:firstLine="484" w:firstLineChars="202"/>
        <w:rPr>
          <w:rFonts w:ascii="宋体" w:hAnsi="宋体" w:cs="仿宋"/>
        </w:rPr>
      </w:pPr>
      <w:r>
        <w:rPr>
          <w:rFonts w:hint="eastAsia" w:ascii="宋体" w:hAnsi="宋体" w:cs="仿宋"/>
        </w:rPr>
        <w:t>4.1.6参选人项目人员配备；</w:t>
      </w:r>
    </w:p>
    <w:p w14:paraId="27C294B2">
      <w:pPr>
        <w:adjustRightInd w:val="0"/>
        <w:snapToGrid w:val="0"/>
        <w:spacing w:line="360" w:lineRule="auto"/>
        <w:ind w:firstLine="484" w:firstLineChars="202"/>
        <w:rPr>
          <w:rFonts w:hint="eastAsia" w:ascii="宋体" w:hAnsi="宋体" w:cs="仿宋"/>
        </w:rPr>
      </w:pPr>
      <w:r>
        <w:rPr>
          <w:rFonts w:hint="eastAsia" w:ascii="宋体" w:hAnsi="宋体" w:cs="仿宋"/>
        </w:rPr>
        <w:t>4.2技术部分</w:t>
      </w:r>
    </w:p>
    <w:p w14:paraId="620ADCF6">
      <w:pPr>
        <w:adjustRightInd w:val="0"/>
        <w:snapToGrid w:val="0"/>
        <w:spacing w:line="360" w:lineRule="auto"/>
        <w:ind w:firstLine="484" w:firstLineChars="202"/>
        <w:rPr>
          <w:rFonts w:hint="eastAsia" w:ascii="宋体" w:hAnsi="宋体" w:cs="仿宋"/>
        </w:rPr>
      </w:pPr>
      <w:r>
        <w:rPr>
          <w:rFonts w:hint="eastAsia" w:ascii="宋体" w:hAnsi="宋体" w:cs="仿宋"/>
        </w:rPr>
        <w:t>4.2.1服务方案；</w:t>
      </w:r>
    </w:p>
    <w:p w14:paraId="4457AB83">
      <w:pPr>
        <w:adjustRightInd w:val="0"/>
        <w:snapToGrid w:val="0"/>
        <w:spacing w:line="360" w:lineRule="auto"/>
        <w:ind w:firstLine="484" w:firstLineChars="202"/>
        <w:rPr>
          <w:rFonts w:ascii="宋体" w:hAnsi="宋体" w:cs="仿宋"/>
        </w:rPr>
      </w:pPr>
      <w:r>
        <w:rPr>
          <w:rFonts w:hint="eastAsia" w:ascii="宋体" w:hAnsi="宋体" w:cs="仿宋"/>
        </w:rPr>
        <w:t>4.3参与响应应提供的其他资料。</w:t>
      </w:r>
      <w:bookmarkStart w:id="75" w:name="_Hlk480386127"/>
    </w:p>
    <w:bookmarkEnd w:id="75"/>
    <w:p w14:paraId="4E60F46A">
      <w:pPr>
        <w:pStyle w:val="4"/>
        <w:spacing w:before="0" w:after="0" w:line="360" w:lineRule="auto"/>
        <w:rPr>
          <w:rStyle w:val="15"/>
          <w:rFonts w:ascii="宋体" w:hAnsi="宋体" w:eastAsia="宋体" w:cs="仿宋"/>
          <w:b w:val="0"/>
          <w:bCs/>
          <w:sz w:val="24"/>
          <w:szCs w:val="24"/>
        </w:rPr>
      </w:pPr>
      <w:bookmarkStart w:id="76" w:name="_Toc452381593"/>
      <w:bookmarkStart w:id="77" w:name="_Toc385992345"/>
      <w:r>
        <w:rPr>
          <w:rStyle w:val="15"/>
          <w:rFonts w:hint="eastAsia" w:ascii="宋体" w:hAnsi="宋体" w:eastAsia="宋体" w:cs="仿宋"/>
          <w:b w:val="0"/>
          <w:bCs/>
          <w:sz w:val="24"/>
          <w:szCs w:val="24"/>
        </w:rPr>
        <w:t>5.响应有效期</w:t>
      </w:r>
      <w:bookmarkEnd w:id="76"/>
      <w:bookmarkEnd w:id="77"/>
    </w:p>
    <w:p w14:paraId="0E9E8B58">
      <w:pPr>
        <w:adjustRightInd w:val="0"/>
        <w:snapToGrid w:val="0"/>
        <w:spacing w:line="360" w:lineRule="auto"/>
        <w:ind w:firstLine="484" w:firstLineChars="202"/>
        <w:rPr>
          <w:rFonts w:ascii="宋体" w:hAnsi="宋体" w:cs="仿宋"/>
        </w:rPr>
      </w:pPr>
      <w:r>
        <w:rPr>
          <w:rFonts w:hint="eastAsia" w:ascii="宋体" w:hAnsi="宋体" w:cs="仿宋"/>
        </w:rPr>
        <w:t>5.1比选的响应有效期为</w:t>
      </w:r>
      <w:r>
        <w:rPr>
          <w:rFonts w:hint="eastAsia" w:ascii="宋体" w:hAnsi="宋体" w:cs="仿宋"/>
          <w:u w:val="single"/>
        </w:rPr>
        <w:t xml:space="preserve"> 90 </w:t>
      </w:r>
      <w:r>
        <w:rPr>
          <w:rFonts w:hint="eastAsia" w:ascii="宋体" w:hAnsi="宋体" w:cs="仿宋"/>
        </w:rPr>
        <w:t>天。报价函的有效期比本须知规定的有效期短的，将被视为非响应比选文件的要求而拒绝。</w:t>
      </w:r>
    </w:p>
    <w:p w14:paraId="03697587">
      <w:pPr>
        <w:adjustRightInd w:val="0"/>
        <w:snapToGrid w:val="0"/>
        <w:spacing w:line="360" w:lineRule="auto"/>
        <w:ind w:firstLine="484" w:firstLineChars="202"/>
        <w:rPr>
          <w:rFonts w:ascii="宋体" w:hAnsi="宋体" w:cs="仿宋"/>
        </w:rPr>
      </w:pPr>
      <w:r>
        <w:rPr>
          <w:rFonts w:hint="eastAsia" w:ascii="宋体" w:hAnsi="宋体" w:cs="仿宋"/>
        </w:rPr>
        <w:t>5.2特殊情况下，供应商可于响应有效期届满之前确认同意延长有效期，要求与答复均应为书面形式。</w:t>
      </w:r>
    </w:p>
    <w:p w14:paraId="1DD696B3">
      <w:pPr>
        <w:pStyle w:val="2"/>
        <w:spacing w:before="0" w:after="0" w:line="360" w:lineRule="auto"/>
        <w:rPr>
          <w:rFonts w:ascii="宋体" w:hAnsi="宋体" w:cs="仿宋"/>
          <w:szCs w:val="24"/>
        </w:rPr>
      </w:pPr>
      <w:r>
        <w:rPr>
          <w:rFonts w:hint="eastAsia" w:ascii="宋体" w:hAnsi="宋体" w:cs="仿宋"/>
          <w:szCs w:val="24"/>
        </w:rPr>
        <w:t>三、响应文件的份数和签署</w:t>
      </w:r>
    </w:p>
    <w:p w14:paraId="5BEFD910">
      <w:pPr>
        <w:pStyle w:val="4"/>
        <w:spacing w:before="0" w:after="0" w:line="360" w:lineRule="auto"/>
        <w:rPr>
          <w:rStyle w:val="15"/>
          <w:rFonts w:ascii="宋体" w:hAnsi="宋体" w:eastAsia="宋体" w:cs="仿宋"/>
          <w:b w:val="0"/>
          <w:bCs/>
          <w:sz w:val="24"/>
          <w:szCs w:val="24"/>
        </w:rPr>
      </w:pPr>
      <w:r>
        <w:rPr>
          <w:rStyle w:val="15"/>
          <w:rFonts w:hint="eastAsia" w:ascii="宋体" w:hAnsi="宋体" w:eastAsia="宋体" w:cs="仿宋"/>
          <w:b w:val="0"/>
          <w:bCs/>
          <w:sz w:val="24"/>
          <w:szCs w:val="24"/>
        </w:rPr>
        <w:t>6.响应文件的份数</w:t>
      </w:r>
    </w:p>
    <w:p w14:paraId="219C556D">
      <w:pPr>
        <w:adjustRightInd w:val="0"/>
        <w:snapToGrid w:val="0"/>
        <w:spacing w:line="360" w:lineRule="auto"/>
        <w:ind w:firstLine="484" w:firstLineChars="202"/>
        <w:rPr>
          <w:rFonts w:hint="eastAsia" w:ascii="宋体" w:hAnsi="宋体" w:cs="仿宋"/>
        </w:rPr>
      </w:pPr>
      <w:r>
        <w:rPr>
          <w:rFonts w:hint="eastAsia" w:ascii="宋体" w:hAnsi="宋体" w:cs="仿宋"/>
        </w:rPr>
        <w:t>正本1份、副本1份，并提供电子版U盘1份（纸质版正本响应文件扫描件）</w:t>
      </w:r>
    </w:p>
    <w:p w14:paraId="00F7A0C3">
      <w:pPr>
        <w:pStyle w:val="4"/>
        <w:spacing w:before="0" w:after="0" w:line="360" w:lineRule="auto"/>
        <w:rPr>
          <w:rStyle w:val="15"/>
          <w:rFonts w:ascii="宋体" w:hAnsi="宋体" w:eastAsia="宋体" w:cs="仿宋"/>
          <w:b w:val="0"/>
          <w:bCs/>
          <w:sz w:val="24"/>
          <w:szCs w:val="24"/>
        </w:rPr>
      </w:pPr>
      <w:r>
        <w:rPr>
          <w:rStyle w:val="15"/>
          <w:rFonts w:hint="eastAsia" w:ascii="宋体" w:hAnsi="宋体" w:eastAsia="宋体" w:cs="仿宋"/>
          <w:b w:val="0"/>
          <w:bCs/>
          <w:sz w:val="24"/>
          <w:szCs w:val="24"/>
        </w:rPr>
        <w:t>7.响应文件签署</w:t>
      </w:r>
    </w:p>
    <w:p w14:paraId="6EE51170">
      <w:pPr>
        <w:adjustRightInd w:val="0"/>
        <w:snapToGrid w:val="0"/>
        <w:spacing w:line="360" w:lineRule="auto"/>
        <w:ind w:firstLine="484" w:firstLineChars="202"/>
        <w:rPr>
          <w:rFonts w:hint="eastAsia" w:ascii="宋体" w:hAnsi="宋体" w:cs="仿宋"/>
        </w:rPr>
      </w:pPr>
      <w:r>
        <w:rPr>
          <w:rFonts w:hint="eastAsia" w:ascii="宋体" w:hAnsi="宋体" w:cs="仿宋"/>
        </w:rPr>
        <w:t>7.1每套响应文件须清楚的标明“正本”、“副本”。其正本和副本具有同等效力，正本与副本如有不一致之处，以正本为准。</w:t>
      </w:r>
    </w:p>
    <w:p w14:paraId="3DAC3652">
      <w:pPr>
        <w:adjustRightInd w:val="0"/>
        <w:snapToGrid w:val="0"/>
        <w:spacing w:line="360" w:lineRule="auto"/>
        <w:ind w:firstLine="484" w:firstLineChars="202"/>
        <w:rPr>
          <w:rFonts w:ascii="宋体" w:hAnsi="宋体" w:cs="仿宋"/>
        </w:rPr>
      </w:pPr>
      <w:r>
        <w:rPr>
          <w:rFonts w:hint="eastAsia" w:ascii="宋体" w:hAnsi="宋体" w:cs="仿宋"/>
        </w:rPr>
        <w:t>7.2响应文件均应使用不能擦去的墨水打印或书写，并加盖参选人单位章和法定代表人或其委托代理人签字或盖章。</w:t>
      </w:r>
    </w:p>
    <w:p w14:paraId="60E4E47E">
      <w:pPr>
        <w:adjustRightInd w:val="0"/>
        <w:snapToGrid w:val="0"/>
        <w:spacing w:line="360" w:lineRule="auto"/>
        <w:ind w:firstLine="484" w:firstLineChars="202"/>
        <w:rPr>
          <w:rFonts w:hint="eastAsia" w:ascii="宋体" w:hAnsi="宋体" w:cs="仿宋"/>
        </w:rPr>
      </w:pPr>
      <w:r>
        <w:rPr>
          <w:rFonts w:hint="eastAsia" w:ascii="宋体" w:hAnsi="宋体" w:cs="仿宋"/>
        </w:rPr>
        <w:t>7.3全套响应文件应无涂改和行间插字。</w:t>
      </w:r>
    </w:p>
    <w:p w14:paraId="443E84F4">
      <w:pPr>
        <w:pStyle w:val="2"/>
        <w:spacing w:before="0" w:after="0" w:line="360" w:lineRule="auto"/>
        <w:rPr>
          <w:rFonts w:ascii="宋体" w:hAnsi="宋体" w:cs="仿宋"/>
          <w:szCs w:val="24"/>
        </w:rPr>
      </w:pPr>
      <w:bookmarkStart w:id="78" w:name="_Toc452381595"/>
      <w:bookmarkStart w:id="79" w:name="_Toc385992347"/>
      <w:bookmarkStart w:id="80" w:name="_Toc23859188"/>
      <w:r>
        <w:rPr>
          <w:rFonts w:hint="eastAsia" w:ascii="宋体" w:hAnsi="宋体" w:cs="仿宋"/>
          <w:szCs w:val="24"/>
        </w:rPr>
        <w:t>三、响应文件的递交</w:t>
      </w:r>
      <w:bookmarkEnd w:id="78"/>
      <w:bookmarkEnd w:id="79"/>
      <w:bookmarkEnd w:id="80"/>
    </w:p>
    <w:p w14:paraId="430969C3">
      <w:pPr>
        <w:pStyle w:val="4"/>
        <w:spacing w:before="0" w:after="0" w:line="360" w:lineRule="auto"/>
        <w:rPr>
          <w:rStyle w:val="15"/>
          <w:rFonts w:ascii="宋体" w:hAnsi="宋体" w:eastAsia="宋体" w:cs="仿宋"/>
          <w:b w:val="0"/>
          <w:bCs/>
          <w:sz w:val="24"/>
          <w:szCs w:val="24"/>
        </w:rPr>
      </w:pPr>
      <w:bookmarkStart w:id="81" w:name="_Toc385992348"/>
      <w:bookmarkStart w:id="82" w:name="_Toc23859189"/>
      <w:bookmarkStart w:id="83" w:name="_Toc452381596"/>
      <w:r>
        <w:rPr>
          <w:rStyle w:val="15"/>
          <w:rFonts w:hint="eastAsia" w:ascii="宋体" w:hAnsi="宋体" w:eastAsia="宋体" w:cs="仿宋"/>
          <w:b w:val="0"/>
          <w:bCs/>
          <w:sz w:val="24"/>
          <w:szCs w:val="24"/>
        </w:rPr>
        <w:t>8.响应文件的密封和标记</w:t>
      </w:r>
      <w:bookmarkEnd w:id="81"/>
      <w:bookmarkEnd w:id="82"/>
      <w:bookmarkEnd w:id="83"/>
    </w:p>
    <w:p w14:paraId="7BB5C3B8">
      <w:pPr>
        <w:adjustRightInd w:val="0"/>
        <w:snapToGrid w:val="0"/>
        <w:spacing w:line="360" w:lineRule="auto"/>
        <w:ind w:firstLine="484" w:firstLineChars="202"/>
        <w:rPr>
          <w:rFonts w:ascii="宋体" w:hAnsi="宋体" w:cs="仿宋"/>
        </w:rPr>
      </w:pPr>
      <w:r>
        <w:rPr>
          <w:rFonts w:hint="eastAsia" w:ascii="宋体" w:hAnsi="宋体" w:cs="仿宋"/>
        </w:rPr>
        <w:t>8.1 参选人应提交“响应文件”。应将响应文件用密封袋密封，并在正面标明项目名称、参选人名称。</w:t>
      </w:r>
    </w:p>
    <w:p w14:paraId="7EB7776B">
      <w:pPr>
        <w:adjustRightInd w:val="0"/>
        <w:snapToGrid w:val="0"/>
        <w:spacing w:line="360" w:lineRule="auto"/>
        <w:ind w:firstLine="484" w:firstLineChars="202"/>
        <w:rPr>
          <w:rStyle w:val="15"/>
          <w:rFonts w:ascii="宋体" w:hAnsi="宋体" w:eastAsia="宋体" w:cs="仿宋"/>
          <w:b w:val="0"/>
          <w:kern w:val="0"/>
          <w:sz w:val="24"/>
        </w:rPr>
      </w:pPr>
      <w:r>
        <w:rPr>
          <w:rFonts w:hint="eastAsia" w:ascii="宋体" w:hAnsi="宋体" w:cs="仿宋"/>
        </w:rPr>
        <w:t>8.2 如果未按上述规定进行密封和标记，比选人对响应文件的误投或提前拆封不负责任。</w:t>
      </w:r>
    </w:p>
    <w:p w14:paraId="786E0A0C">
      <w:pPr>
        <w:pStyle w:val="4"/>
        <w:spacing w:before="0" w:after="0" w:line="360" w:lineRule="auto"/>
        <w:rPr>
          <w:rStyle w:val="15"/>
          <w:rFonts w:ascii="宋体" w:hAnsi="宋体" w:eastAsia="宋体" w:cs="仿宋"/>
          <w:b w:val="0"/>
          <w:bCs/>
          <w:sz w:val="24"/>
          <w:szCs w:val="24"/>
        </w:rPr>
      </w:pPr>
      <w:bookmarkStart w:id="84" w:name="_Toc385992349"/>
      <w:bookmarkStart w:id="85" w:name="_Toc23859190"/>
      <w:bookmarkStart w:id="86" w:name="_Toc452381597"/>
      <w:r>
        <w:rPr>
          <w:rStyle w:val="15"/>
          <w:rFonts w:hint="eastAsia" w:ascii="宋体" w:hAnsi="宋体" w:eastAsia="宋体" w:cs="仿宋"/>
          <w:b w:val="0"/>
          <w:bCs/>
          <w:sz w:val="24"/>
          <w:szCs w:val="24"/>
        </w:rPr>
        <w:t>9.响应截止</w:t>
      </w:r>
      <w:bookmarkEnd w:id="84"/>
      <w:r>
        <w:rPr>
          <w:rStyle w:val="15"/>
          <w:rFonts w:hint="eastAsia" w:ascii="宋体" w:hAnsi="宋体" w:eastAsia="宋体" w:cs="仿宋"/>
          <w:b w:val="0"/>
          <w:bCs/>
          <w:sz w:val="24"/>
          <w:szCs w:val="24"/>
        </w:rPr>
        <w:t>时间</w:t>
      </w:r>
      <w:bookmarkEnd w:id="85"/>
      <w:bookmarkEnd w:id="86"/>
    </w:p>
    <w:p w14:paraId="085EEE93">
      <w:pPr>
        <w:adjustRightInd w:val="0"/>
        <w:snapToGrid w:val="0"/>
        <w:spacing w:line="360" w:lineRule="auto"/>
        <w:ind w:firstLine="484" w:firstLineChars="202"/>
        <w:rPr>
          <w:rFonts w:ascii="宋体" w:hAnsi="宋体" w:cs="仿宋"/>
        </w:rPr>
      </w:pPr>
      <w:r>
        <w:rPr>
          <w:rFonts w:hint="eastAsia" w:ascii="宋体" w:hAnsi="宋体" w:cs="仿宋"/>
        </w:rPr>
        <w:t>9.1所有响应文件都必须按比选须知中规定的截止时间之前送达比选人要求递交的地址。</w:t>
      </w:r>
    </w:p>
    <w:p w14:paraId="7CA01A5A">
      <w:pPr>
        <w:adjustRightInd w:val="0"/>
        <w:snapToGrid w:val="0"/>
        <w:spacing w:line="360" w:lineRule="auto"/>
        <w:ind w:firstLine="484" w:firstLineChars="202"/>
        <w:rPr>
          <w:rFonts w:ascii="宋体" w:hAnsi="宋体" w:cs="仿宋"/>
        </w:rPr>
      </w:pPr>
      <w:r>
        <w:rPr>
          <w:rFonts w:hint="eastAsia" w:ascii="宋体" w:hAnsi="宋体" w:cs="仿宋"/>
        </w:rPr>
        <w:t>9.2因比选文件的修改推迟响应截止日期时，则按比选人修改通知规定的时间递交。</w:t>
      </w:r>
      <w:bookmarkStart w:id="87" w:name="_Toc385992350"/>
    </w:p>
    <w:bookmarkEnd w:id="87"/>
    <w:p w14:paraId="6FEFB464">
      <w:pPr>
        <w:pStyle w:val="4"/>
        <w:spacing w:before="0" w:after="0" w:line="360" w:lineRule="auto"/>
        <w:rPr>
          <w:rStyle w:val="15"/>
          <w:rFonts w:ascii="宋体" w:hAnsi="宋体" w:eastAsia="宋体" w:cs="仿宋"/>
          <w:b w:val="0"/>
          <w:bCs/>
          <w:sz w:val="24"/>
          <w:szCs w:val="24"/>
        </w:rPr>
      </w:pPr>
      <w:bookmarkStart w:id="88" w:name="_Toc23859191"/>
      <w:bookmarkStart w:id="89" w:name="_Toc452381599"/>
      <w:bookmarkStart w:id="90" w:name="_Toc385992351"/>
      <w:r>
        <w:rPr>
          <w:rStyle w:val="15"/>
          <w:rFonts w:hint="eastAsia" w:ascii="宋体" w:hAnsi="宋体" w:eastAsia="宋体" w:cs="仿宋"/>
          <w:b w:val="0"/>
          <w:bCs/>
          <w:sz w:val="24"/>
          <w:szCs w:val="24"/>
        </w:rPr>
        <w:t>10.响应文件的修改和撤销</w:t>
      </w:r>
      <w:bookmarkEnd w:id="88"/>
      <w:bookmarkEnd w:id="89"/>
      <w:bookmarkEnd w:id="90"/>
    </w:p>
    <w:p w14:paraId="150C0FE8">
      <w:pPr>
        <w:adjustRightInd w:val="0"/>
        <w:snapToGrid w:val="0"/>
        <w:spacing w:line="360" w:lineRule="auto"/>
        <w:ind w:firstLine="484" w:firstLineChars="202"/>
        <w:rPr>
          <w:rFonts w:ascii="宋体" w:hAnsi="宋体" w:cs="仿宋"/>
        </w:rPr>
      </w:pPr>
      <w:r>
        <w:rPr>
          <w:rFonts w:hint="eastAsia" w:ascii="宋体" w:hAnsi="宋体" w:cs="仿宋"/>
        </w:rPr>
        <w:t>10.1参与响应的供应商在提交响应文件后可对其响应文件进行修改或撤销，但该修改或撤销的书面通知须在响应截止时间之前送达比选人；且该通知须有经正式授权的参与响应的授权代表签字方为有效。</w:t>
      </w:r>
    </w:p>
    <w:p w14:paraId="0DB26304">
      <w:pPr>
        <w:adjustRightInd w:val="0"/>
        <w:snapToGrid w:val="0"/>
        <w:spacing w:line="360" w:lineRule="auto"/>
        <w:ind w:firstLine="484" w:firstLineChars="202"/>
        <w:rPr>
          <w:rFonts w:ascii="宋体" w:hAnsi="宋体" w:cs="仿宋"/>
        </w:rPr>
      </w:pPr>
      <w:r>
        <w:rPr>
          <w:rFonts w:hint="eastAsia" w:ascii="宋体" w:hAnsi="宋体" w:cs="仿宋"/>
        </w:rPr>
        <w:t>10.2在响应截止期时间之后，参与的供应商不得对其文件做任何修改。</w:t>
      </w:r>
    </w:p>
    <w:p w14:paraId="1C76EC97">
      <w:pPr>
        <w:pStyle w:val="2"/>
        <w:spacing w:before="0" w:after="0" w:line="360" w:lineRule="auto"/>
        <w:rPr>
          <w:rFonts w:ascii="宋体" w:hAnsi="宋体" w:cs="仿宋"/>
          <w:szCs w:val="24"/>
        </w:rPr>
      </w:pPr>
      <w:bookmarkStart w:id="91" w:name="_Toc385992352"/>
      <w:bookmarkStart w:id="92" w:name="_Toc452381600"/>
      <w:bookmarkStart w:id="93" w:name="_Toc23859192"/>
      <w:r>
        <w:rPr>
          <w:rFonts w:hint="eastAsia" w:ascii="宋体" w:hAnsi="宋体" w:cs="仿宋"/>
          <w:szCs w:val="24"/>
        </w:rPr>
        <w:t>四、</w:t>
      </w:r>
      <w:bookmarkEnd w:id="91"/>
      <w:bookmarkEnd w:id="92"/>
      <w:bookmarkEnd w:id="93"/>
      <w:r>
        <w:rPr>
          <w:rFonts w:hint="eastAsia" w:ascii="宋体" w:hAnsi="宋体" w:cs="仿宋"/>
          <w:szCs w:val="24"/>
        </w:rPr>
        <w:t>评审</w:t>
      </w:r>
    </w:p>
    <w:p w14:paraId="26A11247">
      <w:pPr>
        <w:pStyle w:val="4"/>
        <w:spacing w:before="0" w:after="0" w:line="360" w:lineRule="auto"/>
        <w:rPr>
          <w:rStyle w:val="15"/>
          <w:rFonts w:ascii="宋体" w:hAnsi="宋体" w:eastAsia="宋体" w:cs="仿宋"/>
          <w:b w:val="0"/>
          <w:bCs/>
          <w:sz w:val="24"/>
          <w:szCs w:val="24"/>
        </w:rPr>
      </w:pPr>
      <w:bookmarkStart w:id="94" w:name="_Toc23859193"/>
      <w:bookmarkStart w:id="95" w:name="_Toc385992358"/>
      <w:bookmarkStart w:id="96" w:name="_Toc452381606"/>
      <w:r>
        <w:rPr>
          <w:rStyle w:val="15"/>
          <w:rFonts w:hint="eastAsia" w:ascii="宋体" w:hAnsi="宋体" w:eastAsia="宋体" w:cs="仿宋"/>
          <w:b w:val="0"/>
          <w:bCs/>
          <w:sz w:val="24"/>
          <w:szCs w:val="24"/>
        </w:rPr>
        <w:t>11.评审原则</w:t>
      </w:r>
      <w:bookmarkEnd w:id="94"/>
      <w:bookmarkEnd w:id="95"/>
      <w:bookmarkEnd w:id="96"/>
    </w:p>
    <w:p w14:paraId="03F3B28A">
      <w:pPr>
        <w:adjustRightInd w:val="0"/>
        <w:snapToGrid w:val="0"/>
        <w:spacing w:line="360" w:lineRule="auto"/>
        <w:ind w:firstLine="484" w:firstLineChars="202"/>
        <w:rPr>
          <w:rFonts w:ascii="宋体" w:hAnsi="宋体" w:cs="仿宋"/>
        </w:rPr>
      </w:pPr>
      <w:r>
        <w:rPr>
          <w:rFonts w:hint="eastAsia" w:ascii="宋体" w:hAnsi="宋体" w:cs="仿宋"/>
        </w:rPr>
        <w:t>11.1遵循“公开、公平、公正、择优”的原则。</w:t>
      </w:r>
    </w:p>
    <w:p w14:paraId="0E00C198">
      <w:pPr>
        <w:adjustRightInd w:val="0"/>
        <w:snapToGrid w:val="0"/>
        <w:spacing w:line="360" w:lineRule="auto"/>
        <w:ind w:firstLine="484" w:firstLineChars="202"/>
        <w:rPr>
          <w:rFonts w:ascii="宋体" w:hAnsi="宋体" w:cs="仿宋"/>
        </w:rPr>
      </w:pPr>
      <w:r>
        <w:rPr>
          <w:rFonts w:hint="eastAsia" w:ascii="宋体" w:hAnsi="宋体" w:cs="仿宋"/>
        </w:rPr>
        <w:t>11.2评审严格按比选文件规定的有关评选要求进行。</w:t>
      </w:r>
      <w:bookmarkStart w:id="97" w:name="_Toc385992359"/>
    </w:p>
    <w:p w14:paraId="7E7DF6A7">
      <w:pPr>
        <w:adjustRightInd w:val="0"/>
        <w:snapToGrid w:val="0"/>
        <w:spacing w:line="360" w:lineRule="auto"/>
        <w:ind w:firstLine="484" w:firstLineChars="202"/>
        <w:rPr>
          <w:rFonts w:ascii="宋体" w:hAnsi="宋体" w:cs="仿宋"/>
        </w:rPr>
      </w:pPr>
      <w:r>
        <w:rPr>
          <w:rFonts w:hint="eastAsia" w:ascii="宋体" w:hAnsi="宋体" w:cs="仿宋"/>
          <w:bCs/>
        </w:rPr>
        <w:t>11.3</w:t>
      </w:r>
      <w:r>
        <w:rPr>
          <w:rFonts w:hint="eastAsia" w:ascii="宋体" w:hAnsi="宋体" w:cs="仿宋"/>
        </w:rPr>
        <w:t>参选人根据比选人要求须派法定代表人或其授权委托代理人参加。</w:t>
      </w:r>
    </w:p>
    <w:p w14:paraId="04FA3705">
      <w:pPr>
        <w:pStyle w:val="4"/>
        <w:spacing w:before="0" w:after="0" w:line="360" w:lineRule="auto"/>
        <w:rPr>
          <w:rStyle w:val="15"/>
          <w:rFonts w:ascii="宋体" w:hAnsi="宋体" w:eastAsia="宋体" w:cs="仿宋"/>
          <w:b w:val="0"/>
          <w:bCs/>
          <w:sz w:val="24"/>
          <w:szCs w:val="24"/>
        </w:rPr>
      </w:pPr>
      <w:bookmarkStart w:id="98" w:name="_Toc23859194"/>
      <w:bookmarkStart w:id="99" w:name="_Toc100480285"/>
      <w:bookmarkStart w:id="100" w:name="_Toc100376415"/>
      <w:r>
        <w:rPr>
          <w:rStyle w:val="15"/>
          <w:rFonts w:hint="eastAsia" w:ascii="宋体" w:hAnsi="宋体" w:eastAsia="宋体" w:cs="仿宋"/>
          <w:b w:val="0"/>
          <w:bCs/>
          <w:sz w:val="24"/>
          <w:szCs w:val="24"/>
        </w:rPr>
        <w:t>12.评审小组</w:t>
      </w:r>
      <w:bookmarkEnd w:id="98"/>
    </w:p>
    <w:p w14:paraId="6F5C80DF">
      <w:pPr>
        <w:adjustRightInd w:val="0"/>
        <w:snapToGrid w:val="0"/>
        <w:spacing w:line="360" w:lineRule="auto"/>
        <w:ind w:firstLine="480" w:firstLineChars="200"/>
        <w:rPr>
          <w:rFonts w:ascii="宋体" w:hAnsi="宋体" w:cs="仿宋"/>
        </w:rPr>
      </w:pPr>
      <w:r>
        <w:rPr>
          <w:rFonts w:hint="eastAsia" w:ascii="宋体" w:hAnsi="宋体" w:cs="仿宋"/>
        </w:rPr>
        <w:t xml:space="preserve">由比选人根据项目需要自行成立评审小组，组织评选工作。评审小组根据本项目比选文件评审标准和方法进行评审，并出具评审意见。 </w:t>
      </w:r>
    </w:p>
    <w:p w14:paraId="26D40DE1">
      <w:pPr>
        <w:pStyle w:val="4"/>
        <w:spacing w:before="0" w:after="0" w:line="360" w:lineRule="auto"/>
        <w:rPr>
          <w:rStyle w:val="15"/>
          <w:rFonts w:ascii="宋体" w:hAnsi="宋体" w:eastAsia="宋体" w:cs="仿宋"/>
          <w:b w:val="0"/>
          <w:bCs/>
          <w:sz w:val="24"/>
          <w:szCs w:val="24"/>
        </w:rPr>
      </w:pPr>
      <w:bookmarkStart w:id="101" w:name="_Toc23859195"/>
      <w:r>
        <w:rPr>
          <w:rStyle w:val="15"/>
          <w:rFonts w:hint="eastAsia" w:ascii="宋体" w:hAnsi="宋体" w:eastAsia="宋体" w:cs="仿宋"/>
          <w:b w:val="0"/>
          <w:bCs/>
          <w:sz w:val="24"/>
          <w:szCs w:val="24"/>
        </w:rPr>
        <w:t>13.评审方法</w:t>
      </w:r>
      <w:bookmarkEnd w:id="99"/>
      <w:bookmarkEnd w:id="100"/>
      <w:bookmarkEnd w:id="101"/>
    </w:p>
    <w:p w14:paraId="6C0F0C77">
      <w:pPr>
        <w:adjustRightInd w:val="0"/>
        <w:snapToGrid w:val="0"/>
        <w:spacing w:line="360" w:lineRule="auto"/>
        <w:ind w:firstLine="480" w:firstLineChars="200"/>
        <w:rPr>
          <w:rFonts w:ascii="宋体" w:hAnsi="宋体" w:cs="仿宋"/>
        </w:rPr>
      </w:pPr>
      <w:bookmarkStart w:id="102" w:name="_Toc117914872"/>
      <w:bookmarkStart w:id="103" w:name="_Toc120087919"/>
      <w:r>
        <w:rPr>
          <w:rFonts w:hint="eastAsia" w:ascii="宋体" w:hAnsi="宋体" w:cs="仿宋"/>
        </w:rPr>
        <w:t>评审小组成员将以比选文件为依据，对所有实质上响应的响应文件进行评审并按照“综合打分法”进行。</w:t>
      </w:r>
      <w:bookmarkEnd w:id="102"/>
      <w:bookmarkEnd w:id="103"/>
      <w:r>
        <w:rPr>
          <w:rFonts w:hint="eastAsia" w:ascii="宋体" w:hAnsi="宋体" w:cs="仿宋"/>
        </w:rPr>
        <w:t>计算评分以“四舍五入”取小数点后两位。</w:t>
      </w:r>
    </w:p>
    <w:p w14:paraId="4852F288">
      <w:pPr>
        <w:adjustRightInd w:val="0"/>
        <w:snapToGrid w:val="0"/>
        <w:spacing w:line="360" w:lineRule="auto"/>
        <w:ind w:firstLine="480" w:firstLineChars="200"/>
        <w:rPr>
          <w:rFonts w:ascii="宋体" w:hAnsi="宋体" w:cs="仿宋"/>
        </w:rPr>
      </w:pPr>
      <w:bookmarkStart w:id="104" w:name="_Toc117914876"/>
      <w:bookmarkStart w:id="105" w:name="_Toc120087923"/>
      <w:r>
        <w:rPr>
          <w:rFonts w:hint="eastAsia" w:ascii="宋体" w:hAnsi="宋体" w:cs="仿宋"/>
        </w:rPr>
        <w:t>评审小组对通过符合性、完整性审查的响应文件进行综合打分，评审标准内容详见下表：</w:t>
      </w:r>
    </w:p>
    <w:p w14:paraId="6FB35212">
      <w:pPr>
        <w:pStyle w:val="6"/>
        <w:spacing w:line="440" w:lineRule="exact"/>
        <w:jc w:val="center"/>
        <w:rPr>
          <w:rFonts w:hint="eastAsia" w:hAnsi="宋体"/>
          <w:b/>
        </w:rPr>
      </w:pPr>
      <w:r>
        <w:rPr>
          <w:rFonts w:hint="eastAsia" w:hAnsi="宋体"/>
          <w:b/>
        </w:rPr>
        <w:t>百分制评分一览表</w:t>
      </w:r>
    </w:p>
    <w:bookmarkEnd w:id="104"/>
    <w:bookmarkEnd w:id="105"/>
    <w:p w14:paraId="1A266628">
      <w:pPr>
        <w:tabs>
          <w:tab w:val="left" w:pos="567"/>
        </w:tabs>
        <w:spacing w:before="120" w:after="240" w:line="360" w:lineRule="auto"/>
        <w:rPr>
          <w:rFonts w:ascii="Arial" w:hAnsi="Arial" w:eastAsia="仿宋" w:cs="Arial"/>
          <w:kern w:val="0"/>
          <w:sz w:val="24"/>
        </w:rPr>
      </w:pPr>
      <w:bookmarkStart w:id="106" w:name="_Toc23859196"/>
      <w:r>
        <w:rPr>
          <w:rFonts w:ascii="Arial" w:hAnsi="Arial" w:eastAsia="仿宋" w:cs="Arial"/>
          <w:kern w:val="0"/>
          <w:sz w:val="24"/>
        </w:rPr>
        <w:t>1、价格部分评分表（</w:t>
      </w:r>
      <w:r>
        <w:rPr>
          <w:rFonts w:hint="eastAsia" w:ascii="Arial" w:hAnsi="Arial" w:eastAsia="仿宋" w:cs="Arial"/>
          <w:kern w:val="0"/>
          <w:sz w:val="24"/>
          <w:lang w:val="en-US" w:eastAsia="zh-CN"/>
        </w:rPr>
        <w:t>2</w:t>
      </w:r>
      <w:r>
        <w:rPr>
          <w:rFonts w:ascii="Arial" w:hAnsi="Arial" w:eastAsia="仿宋" w:cs="Arial"/>
          <w:kern w:val="0"/>
          <w:sz w:val="24"/>
        </w:rPr>
        <w:t>0分）</w:t>
      </w:r>
    </w:p>
    <w:tbl>
      <w:tblPr>
        <w:tblStyle w:val="11"/>
        <w:tblpPr w:leftFromText="180" w:rightFromText="180" w:vertAnchor="text" w:horzAnchor="page" w:tblpX="2040" w:tblpY="77"/>
        <w:tblOverlap w:val="never"/>
        <w:tblW w:w="8864" w:type="dxa"/>
        <w:tblInd w:w="0" w:type="dxa"/>
        <w:tblLayout w:type="fixed"/>
        <w:tblCellMar>
          <w:top w:w="0" w:type="dxa"/>
          <w:left w:w="108" w:type="dxa"/>
          <w:bottom w:w="0" w:type="dxa"/>
          <w:right w:w="108" w:type="dxa"/>
        </w:tblCellMar>
      </w:tblPr>
      <w:tblGrid>
        <w:gridCol w:w="1720"/>
        <w:gridCol w:w="6300"/>
        <w:gridCol w:w="844"/>
      </w:tblGrid>
      <w:tr w14:paraId="0DB82224">
        <w:tblPrEx>
          <w:tblCellMar>
            <w:top w:w="0" w:type="dxa"/>
            <w:left w:w="108" w:type="dxa"/>
            <w:bottom w:w="0" w:type="dxa"/>
            <w:right w:w="108" w:type="dxa"/>
          </w:tblCellMar>
        </w:tblPrEx>
        <w:trPr>
          <w:trHeight w:val="406" w:hRule="atLeast"/>
        </w:trPr>
        <w:tc>
          <w:tcPr>
            <w:tcW w:w="1720" w:type="dxa"/>
            <w:tcBorders>
              <w:top w:val="single" w:color="auto" w:sz="4" w:space="0"/>
              <w:left w:val="single" w:color="auto" w:sz="4" w:space="0"/>
              <w:bottom w:val="single" w:color="auto" w:sz="4" w:space="0"/>
              <w:right w:val="single" w:color="auto" w:sz="4" w:space="0"/>
            </w:tcBorders>
            <w:vAlign w:val="center"/>
          </w:tcPr>
          <w:p w14:paraId="407C1C7A">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评分因素</w:t>
            </w:r>
          </w:p>
        </w:tc>
        <w:tc>
          <w:tcPr>
            <w:tcW w:w="6300" w:type="dxa"/>
            <w:tcBorders>
              <w:top w:val="single" w:color="auto" w:sz="4" w:space="0"/>
              <w:left w:val="nil"/>
              <w:bottom w:val="single" w:color="auto" w:sz="4" w:space="0"/>
              <w:right w:val="single" w:color="auto" w:sz="4" w:space="0"/>
            </w:tcBorders>
            <w:vAlign w:val="center"/>
          </w:tcPr>
          <w:p w14:paraId="4994E21D">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评分标准</w:t>
            </w:r>
          </w:p>
        </w:tc>
        <w:tc>
          <w:tcPr>
            <w:tcW w:w="844" w:type="dxa"/>
            <w:tcBorders>
              <w:top w:val="single" w:color="auto" w:sz="4" w:space="0"/>
              <w:left w:val="nil"/>
              <w:bottom w:val="single" w:color="auto" w:sz="4" w:space="0"/>
              <w:right w:val="single" w:color="000000" w:sz="4" w:space="0"/>
            </w:tcBorders>
            <w:vAlign w:val="center"/>
          </w:tcPr>
          <w:p w14:paraId="42EB0FCE">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分值</w:t>
            </w:r>
          </w:p>
        </w:tc>
      </w:tr>
      <w:tr w14:paraId="3A9DFE18">
        <w:tblPrEx>
          <w:tblCellMar>
            <w:top w:w="0" w:type="dxa"/>
            <w:left w:w="108" w:type="dxa"/>
            <w:bottom w:w="0" w:type="dxa"/>
            <w:right w:w="108" w:type="dxa"/>
          </w:tblCellMar>
        </w:tblPrEx>
        <w:trPr>
          <w:trHeight w:val="1489" w:hRule="atLeast"/>
        </w:trPr>
        <w:tc>
          <w:tcPr>
            <w:tcW w:w="1720" w:type="dxa"/>
            <w:tcBorders>
              <w:top w:val="nil"/>
              <w:left w:val="single" w:color="auto" w:sz="4" w:space="0"/>
              <w:bottom w:val="single" w:color="auto" w:sz="4" w:space="0"/>
              <w:right w:val="single" w:color="auto" w:sz="4" w:space="0"/>
            </w:tcBorders>
            <w:vAlign w:val="center"/>
          </w:tcPr>
          <w:p w14:paraId="00099F51">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lang w:val="en-US" w:eastAsia="zh-CN"/>
              </w:rPr>
              <w:t xml:space="preserve"> </w:t>
            </w:r>
            <w:r>
              <w:rPr>
                <w:rFonts w:hint="eastAsia" w:ascii="Arial" w:hAnsi="Arial" w:eastAsia="仿宋" w:cs="Arial"/>
                <w:color w:val="auto"/>
                <w:kern w:val="0"/>
                <w:sz w:val="24"/>
              </w:rPr>
              <w:t>价格</w:t>
            </w:r>
          </w:p>
        </w:tc>
        <w:tc>
          <w:tcPr>
            <w:tcW w:w="6300" w:type="dxa"/>
            <w:tcBorders>
              <w:top w:val="nil"/>
              <w:left w:val="nil"/>
              <w:bottom w:val="single" w:color="auto" w:sz="4" w:space="0"/>
              <w:right w:val="single" w:color="auto" w:sz="4" w:space="0"/>
            </w:tcBorders>
            <w:vAlign w:val="center"/>
          </w:tcPr>
          <w:p w14:paraId="4C43FFE0">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 xml:space="preserve">价格分数=（基准价/报价）×价格权重（20%）×100 </w:t>
            </w:r>
          </w:p>
          <w:p w14:paraId="4241E695">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（注：实质性响应文件要求且价格最低的报价为基准价）报价应附明细单</w:t>
            </w:r>
          </w:p>
        </w:tc>
        <w:tc>
          <w:tcPr>
            <w:tcW w:w="844" w:type="dxa"/>
            <w:tcBorders>
              <w:top w:val="single" w:color="auto" w:sz="4" w:space="0"/>
              <w:left w:val="nil"/>
              <w:bottom w:val="single" w:color="auto" w:sz="4" w:space="0"/>
              <w:right w:val="single" w:color="000000" w:sz="4" w:space="0"/>
            </w:tcBorders>
            <w:vAlign w:val="center"/>
          </w:tcPr>
          <w:p w14:paraId="32BDD200">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20</w:t>
            </w:r>
          </w:p>
        </w:tc>
      </w:tr>
    </w:tbl>
    <w:p w14:paraId="69E068F5">
      <w:pPr>
        <w:tabs>
          <w:tab w:val="left" w:pos="567"/>
        </w:tabs>
        <w:spacing w:before="120" w:after="240" w:line="360" w:lineRule="auto"/>
        <w:rPr>
          <w:rFonts w:ascii="Arial" w:hAnsi="Arial" w:eastAsia="仿宋" w:cs="Arial"/>
          <w:kern w:val="0"/>
          <w:sz w:val="24"/>
        </w:rPr>
      </w:pPr>
    </w:p>
    <w:p w14:paraId="5977BA7F">
      <w:pPr>
        <w:tabs>
          <w:tab w:val="left" w:pos="567"/>
        </w:tabs>
        <w:spacing w:before="120" w:after="240" w:line="360" w:lineRule="auto"/>
        <w:rPr>
          <w:rFonts w:ascii="Arial" w:hAnsi="Arial" w:eastAsia="仿宋" w:cs="Arial"/>
          <w:kern w:val="0"/>
          <w:sz w:val="24"/>
        </w:rPr>
      </w:pPr>
      <w:r>
        <w:rPr>
          <w:rFonts w:ascii="Arial" w:hAnsi="Arial" w:eastAsia="仿宋" w:cs="Arial"/>
          <w:kern w:val="0"/>
          <w:sz w:val="24"/>
        </w:rPr>
        <w:t>2、商务</w:t>
      </w:r>
      <w:r>
        <w:rPr>
          <w:rFonts w:hint="eastAsia" w:ascii="Arial" w:hAnsi="Arial" w:eastAsia="仿宋" w:cs="Arial"/>
          <w:kern w:val="0"/>
          <w:sz w:val="24"/>
          <w:lang w:eastAsia="zh-CN"/>
        </w:rPr>
        <w:t>、</w:t>
      </w:r>
      <w:r>
        <w:rPr>
          <w:rFonts w:ascii="Arial" w:hAnsi="Arial" w:eastAsia="仿宋" w:cs="Arial"/>
          <w:kern w:val="0"/>
          <w:sz w:val="24"/>
        </w:rPr>
        <w:t>技术部分评分表（</w:t>
      </w:r>
      <w:r>
        <w:rPr>
          <w:rFonts w:hint="eastAsia" w:ascii="Arial" w:hAnsi="Arial" w:eastAsia="仿宋" w:cs="Arial"/>
          <w:kern w:val="0"/>
          <w:sz w:val="24"/>
          <w:lang w:val="en-US" w:eastAsia="zh-CN"/>
        </w:rPr>
        <w:t>8</w:t>
      </w:r>
      <w:r>
        <w:rPr>
          <w:rFonts w:hint="eastAsia" w:ascii="Arial" w:hAnsi="Arial" w:eastAsia="仿宋" w:cs="Arial"/>
          <w:kern w:val="0"/>
          <w:sz w:val="24"/>
        </w:rPr>
        <w:t>0</w:t>
      </w:r>
      <w:r>
        <w:rPr>
          <w:rFonts w:ascii="Arial" w:hAnsi="Arial" w:eastAsia="仿宋" w:cs="Arial"/>
          <w:kern w:val="0"/>
          <w:sz w:val="24"/>
        </w:rPr>
        <w:t>分）</w:t>
      </w:r>
    </w:p>
    <w:tbl>
      <w:tblPr>
        <w:tblStyle w:val="11"/>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6346"/>
        <w:gridCol w:w="743"/>
      </w:tblGrid>
      <w:tr w14:paraId="3220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74" w:type="dxa"/>
            <w:tcBorders>
              <w:top w:val="single" w:color="auto" w:sz="4" w:space="0"/>
              <w:left w:val="single" w:color="auto" w:sz="4" w:space="0"/>
              <w:bottom w:val="single" w:color="auto" w:sz="4" w:space="0"/>
              <w:right w:val="single" w:color="auto" w:sz="4" w:space="0"/>
            </w:tcBorders>
            <w:vAlign w:val="center"/>
          </w:tcPr>
          <w:p w14:paraId="199B51A4">
            <w:pPr>
              <w:widowControl/>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评分因素分项</w:t>
            </w:r>
          </w:p>
        </w:tc>
        <w:tc>
          <w:tcPr>
            <w:tcW w:w="6346" w:type="dxa"/>
            <w:tcBorders>
              <w:top w:val="single" w:color="auto" w:sz="4" w:space="0"/>
              <w:left w:val="single" w:color="auto" w:sz="4" w:space="0"/>
              <w:bottom w:val="single" w:color="auto" w:sz="4" w:space="0"/>
              <w:right w:val="single" w:color="auto" w:sz="4" w:space="0"/>
            </w:tcBorders>
            <w:vAlign w:val="center"/>
          </w:tcPr>
          <w:p w14:paraId="2CCD01B9">
            <w:pPr>
              <w:widowControl/>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评分标准</w:t>
            </w:r>
          </w:p>
        </w:tc>
        <w:tc>
          <w:tcPr>
            <w:tcW w:w="743" w:type="dxa"/>
            <w:tcBorders>
              <w:top w:val="single" w:color="auto" w:sz="4" w:space="0"/>
              <w:left w:val="single" w:color="auto" w:sz="4" w:space="0"/>
              <w:bottom w:val="single" w:color="auto" w:sz="4" w:space="0"/>
              <w:right w:val="single" w:color="auto" w:sz="4" w:space="0"/>
            </w:tcBorders>
            <w:vAlign w:val="center"/>
          </w:tcPr>
          <w:p w14:paraId="005E9A4B">
            <w:pPr>
              <w:widowControl/>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分值</w:t>
            </w:r>
          </w:p>
        </w:tc>
      </w:tr>
      <w:tr w14:paraId="6187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74" w:type="dxa"/>
            <w:tcBorders>
              <w:top w:val="single" w:color="auto" w:sz="4" w:space="0"/>
              <w:left w:val="single" w:color="auto" w:sz="4" w:space="0"/>
              <w:bottom w:val="single" w:color="auto" w:sz="4" w:space="0"/>
              <w:right w:val="single" w:color="auto" w:sz="4" w:space="0"/>
            </w:tcBorders>
            <w:vAlign w:val="center"/>
          </w:tcPr>
          <w:p w14:paraId="1BE344C7">
            <w:pPr>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rPr>
              <w:t>类似业绩</w:t>
            </w:r>
          </w:p>
        </w:tc>
        <w:tc>
          <w:tcPr>
            <w:tcW w:w="6346" w:type="dxa"/>
            <w:tcBorders>
              <w:top w:val="single" w:color="auto" w:sz="4" w:space="0"/>
              <w:left w:val="single" w:color="auto" w:sz="4" w:space="0"/>
              <w:bottom w:val="single" w:color="auto" w:sz="4" w:space="0"/>
              <w:right w:val="single" w:color="auto" w:sz="4" w:space="0"/>
            </w:tcBorders>
            <w:vAlign w:val="center"/>
          </w:tcPr>
          <w:p w14:paraId="4C373CD3">
            <w:pPr>
              <w:widowControl/>
              <w:spacing w:line="360" w:lineRule="auto"/>
              <w:rPr>
                <w:rFonts w:hint="eastAsia" w:ascii="Arial" w:hAnsi="Arial" w:eastAsia="仿宋" w:cs="Arial"/>
                <w:color w:val="auto"/>
                <w:kern w:val="0"/>
                <w:sz w:val="24"/>
              </w:rPr>
            </w:pPr>
            <w:r>
              <w:rPr>
                <w:rFonts w:hint="eastAsia" w:ascii="Arial" w:hAnsi="Arial" w:eastAsia="仿宋" w:cs="Arial"/>
                <w:color w:val="auto"/>
                <w:kern w:val="0"/>
                <w:sz w:val="24"/>
              </w:rPr>
              <w:t>根据近三年（开标之日往前推算）医疗废物清运业绩进行评审，</w:t>
            </w:r>
            <w:r>
              <w:rPr>
                <w:rFonts w:hint="eastAsia" w:ascii="Arial" w:hAnsi="Arial" w:eastAsia="仿宋" w:cs="Arial"/>
                <w:color w:val="auto"/>
                <w:kern w:val="0"/>
                <w:sz w:val="24"/>
                <w:lang w:val="en-US" w:eastAsia="zh-CN"/>
              </w:rPr>
              <w:t>比选</w:t>
            </w:r>
            <w:r>
              <w:rPr>
                <w:rFonts w:hint="eastAsia" w:ascii="Arial" w:hAnsi="Arial" w:eastAsia="仿宋" w:cs="Arial"/>
                <w:color w:val="auto"/>
                <w:kern w:val="0"/>
                <w:sz w:val="24"/>
              </w:rPr>
              <w:t>文件中提供完整清晰的合同复印件加盖单位公章，每提供1份得2分，最高得</w:t>
            </w:r>
            <w:r>
              <w:rPr>
                <w:rFonts w:hint="eastAsia" w:ascii="Arial" w:hAnsi="Arial" w:eastAsia="仿宋" w:cs="Arial"/>
                <w:color w:val="auto"/>
                <w:kern w:val="0"/>
                <w:sz w:val="24"/>
                <w:lang w:val="en-US" w:eastAsia="zh-CN"/>
              </w:rPr>
              <w:t>1</w:t>
            </w:r>
            <w:r>
              <w:rPr>
                <w:rFonts w:hint="eastAsia" w:ascii="Arial" w:hAnsi="Arial" w:eastAsia="仿宋" w:cs="Arial"/>
                <w:color w:val="auto"/>
                <w:kern w:val="0"/>
                <w:sz w:val="24"/>
              </w:rPr>
              <w:t>0分。</w:t>
            </w:r>
          </w:p>
        </w:tc>
        <w:tc>
          <w:tcPr>
            <w:tcW w:w="743" w:type="dxa"/>
            <w:tcBorders>
              <w:top w:val="single" w:color="auto" w:sz="4" w:space="0"/>
              <w:left w:val="single" w:color="auto" w:sz="4" w:space="0"/>
              <w:bottom w:val="single" w:color="auto" w:sz="4" w:space="0"/>
              <w:right w:val="single" w:color="auto" w:sz="4" w:space="0"/>
            </w:tcBorders>
            <w:vAlign w:val="center"/>
          </w:tcPr>
          <w:p w14:paraId="42677E00">
            <w:pPr>
              <w:widowControl/>
              <w:spacing w:line="360" w:lineRule="auto"/>
              <w:jc w:val="center"/>
              <w:rPr>
                <w:rFonts w:hint="eastAsia" w:ascii="Arial" w:hAnsi="Arial" w:eastAsia="仿宋" w:cs="Arial"/>
                <w:color w:val="auto"/>
                <w:kern w:val="0"/>
                <w:sz w:val="24"/>
              </w:rPr>
            </w:pPr>
            <w:r>
              <w:rPr>
                <w:rFonts w:hint="eastAsia" w:ascii="Arial" w:hAnsi="Arial" w:eastAsia="仿宋" w:cs="Arial"/>
                <w:color w:val="auto"/>
                <w:kern w:val="0"/>
                <w:sz w:val="24"/>
                <w:lang w:val="en-US" w:eastAsia="zh-CN"/>
              </w:rPr>
              <w:t>10</w:t>
            </w:r>
          </w:p>
        </w:tc>
      </w:tr>
      <w:tr w14:paraId="432F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74" w:type="dxa"/>
            <w:tcBorders>
              <w:top w:val="single" w:color="auto" w:sz="4" w:space="0"/>
              <w:left w:val="single" w:color="auto" w:sz="4" w:space="0"/>
              <w:bottom w:val="single" w:color="auto" w:sz="4" w:space="0"/>
              <w:right w:val="single" w:color="auto" w:sz="4" w:space="0"/>
            </w:tcBorders>
            <w:vAlign w:val="center"/>
          </w:tcPr>
          <w:p w14:paraId="42D96E80">
            <w:pPr>
              <w:spacing w:line="360" w:lineRule="auto"/>
              <w:jc w:val="center"/>
              <w:rPr>
                <w:rFonts w:ascii="Arial" w:hAnsi="Arial" w:eastAsia="仿宋" w:cs="Arial"/>
                <w:kern w:val="0"/>
                <w:sz w:val="24"/>
              </w:rPr>
            </w:pPr>
            <w:r>
              <w:rPr>
                <w:rFonts w:hint="eastAsia" w:ascii="Arial" w:hAnsi="Arial" w:eastAsia="仿宋" w:cs="Arial"/>
                <w:kern w:val="0"/>
                <w:sz w:val="24"/>
              </w:rPr>
              <w:t>对文件技术部分的响应情况</w:t>
            </w:r>
          </w:p>
        </w:tc>
        <w:tc>
          <w:tcPr>
            <w:tcW w:w="6346" w:type="dxa"/>
            <w:tcBorders>
              <w:top w:val="single" w:color="auto" w:sz="4" w:space="0"/>
              <w:left w:val="single" w:color="auto" w:sz="4" w:space="0"/>
              <w:bottom w:val="single" w:color="auto" w:sz="4" w:space="0"/>
              <w:right w:val="single" w:color="auto" w:sz="4" w:space="0"/>
            </w:tcBorders>
            <w:vAlign w:val="center"/>
          </w:tcPr>
          <w:p w14:paraId="033D28ED">
            <w:pPr>
              <w:widowControl/>
              <w:spacing w:line="360" w:lineRule="auto"/>
              <w:rPr>
                <w:rFonts w:ascii="Arial" w:hAnsi="Arial" w:eastAsia="仿宋" w:cs="Arial"/>
                <w:kern w:val="0"/>
                <w:sz w:val="24"/>
              </w:rPr>
            </w:pPr>
            <w:r>
              <w:rPr>
                <w:rFonts w:hint="eastAsia" w:ascii="Arial" w:hAnsi="Arial" w:eastAsia="仿宋" w:cs="Arial"/>
                <w:kern w:val="0"/>
                <w:sz w:val="24"/>
                <w:lang w:val="en-US" w:eastAsia="zh-CN"/>
              </w:rPr>
              <w:t>比选</w:t>
            </w:r>
            <w:r>
              <w:rPr>
                <w:rFonts w:hint="eastAsia" w:ascii="Arial" w:hAnsi="Arial" w:eastAsia="仿宋" w:cs="Arial"/>
                <w:kern w:val="0"/>
                <w:sz w:val="24"/>
              </w:rPr>
              <w:t>文件的技术规格完全满足</w:t>
            </w:r>
            <w:r>
              <w:rPr>
                <w:rFonts w:hint="eastAsia" w:ascii="Arial" w:hAnsi="Arial" w:eastAsia="仿宋" w:cs="Arial"/>
                <w:kern w:val="0"/>
                <w:sz w:val="24"/>
                <w:lang w:val="en-US" w:eastAsia="zh-CN"/>
              </w:rPr>
              <w:t>比选</w:t>
            </w:r>
            <w:r>
              <w:rPr>
                <w:rFonts w:hint="eastAsia" w:ascii="Arial" w:hAnsi="Arial" w:eastAsia="仿宋" w:cs="Arial"/>
                <w:kern w:val="0"/>
                <w:sz w:val="24"/>
              </w:rPr>
              <w:t>文件要求得</w:t>
            </w:r>
            <w:r>
              <w:rPr>
                <w:rFonts w:ascii="Arial" w:hAnsi="Arial" w:eastAsia="仿宋" w:cs="Arial"/>
                <w:kern w:val="0"/>
                <w:sz w:val="24"/>
              </w:rPr>
              <w:t>20</w:t>
            </w:r>
            <w:r>
              <w:rPr>
                <w:rFonts w:hint="eastAsia" w:ascii="Arial" w:hAnsi="Arial" w:eastAsia="仿宋" w:cs="Arial"/>
                <w:kern w:val="0"/>
                <w:sz w:val="24"/>
              </w:rPr>
              <w:t>分。</w:t>
            </w:r>
            <w:r>
              <w:rPr>
                <w:rFonts w:hint="eastAsia" w:ascii="Arial" w:hAnsi="Arial" w:eastAsia="仿宋" w:cs="Arial"/>
                <w:color w:val="auto"/>
                <w:kern w:val="0"/>
                <w:sz w:val="24"/>
              </w:rPr>
              <w:t>一项一般技术指标不满足扣</w:t>
            </w:r>
            <w:r>
              <w:rPr>
                <w:rFonts w:hint="eastAsia" w:ascii="Arial" w:hAnsi="Arial" w:eastAsia="仿宋" w:cs="Arial"/>
                <w:color w:val="auto"/>
                <w:kern w:val="0"/>
                <w:sz w:val="24"/>
                <w:lang w:val="en-US" w:eastAsia="zh-CN"/>
              </w:rPr>
              <w:t>1</w:t>
            </w:r>
            <w:r>
              <w:rPr>
                <w:rFonts w:hint="eastAsia" w:ascii="Arial" w:hAnsi="Arial" w:eastAsia="仿宋" w:cs="Arial"/>
                <w:color w:val="auto"/>
                <w:kern w:val="0"/>
                <w:sz w:val="24"/>
              </w:rPr>
              <w:t>分；扣完为止。</w:t>
            </w:r>
          </w:p>
        </w:tc>
        <w:tc>
          <w:tcPr>
            <w:tcW w:w="743" w:type="dxa"/>
            <w:tcBorders>
              <w:top w:val="single" w:color="auto" w:sz="4" w:space="0"/>
              <w:left w:val="single" w:color="auto" w:sz="4" w:space="0"/>
              <w:bottom w:val="single" w:color="auto" w:sz="4" w:space="0"/>
              <w:right w:val="single" w:color="auto" w:sz="4" w:space="0"/>
            </w:tcBorders>
            <w:vAlign w:val="center"/>
          </w:tcPr>
          <w:p w14:paraId="5F8F8DE3">
            <w:pPr>
              <w:widowControl/>
              <w:spacing w:line="360" w:lineRule="auto"/>
              <w:jc w:val="center"/>
              <w:rPr>
                <w:rFonts w:ascii="Arial" w:hAnsi="Arial" w:eastAsia="仿宋" w:cs="Arial"/>
                <w:kern w:val="0"/>
                <w:sz w:val="24"/>
              </w:rPr>
            </w:pPr>
            <w:r>
              <w:rPr>
                <w:rFonts w:hint="eastAsia" w:ascii="Arial" w:hAnsi="Arial" w:eastAsia="仿宋" w:cs="Arial"/>
                <w:kern w:val="0"/>
                <w:sz w:val="24"/>
              </w:rPr>
              <w:t>20</w:t>
            </w:r>
          </w:p>
        </w:tc>
      </w:tr>
      <w:tr w14:paraId="7588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74" w:type="dxa"/>
            <w:tcBorders>
              <w:top w:val="single" w:color="auto" w:sz="4" w:space="0"/>
              <w:left w:val="single" w:color="auto" w:sz="4" w:space="0"/>
              <w:bottom w:val="single" w:color="auto" w:sz="4" w:space="0"/>
              <w:right w:val="single" w:color="auto" w:sz="4" w:space="0"/>
            </w:tcBorders>
            <w:vAlign w:val="center"/>
          </w:tcPr>
          <w:p w14:paraId="3C23E704">
            <w:pPr>
              <w:spacing w:line="360" w:lineRule="auto"/>
              <w:jc w:val="center"/>
              <w:rPr>
                <w:rFonts w:ascii="Arial" w:hAnsi="Arial" w:eastAsia="仿宋" w:cs="Arial"/>
                <w:kern w:val="0"/>
                <w:sz w:val="24"/>
              </w:rPr>
            </w:pPr>
            <w:r>
              <w:rPr>
                <w:rFonts w:hint="eastAsia" w:ascii="Arial" w:hAnsi="Arial" w:eastAsia="仿宋" w:cs="Arial"/>
                <w:kern w:val="0"/>
                <w:sz w:val="24"/>
              </w:rPr>
              <w:t>服务方案</w:t>
            </w:r>
          </w:p>
        </w:tc>
        <w:tc>
          <w:tcPr>
            <w:tcW w:w="6346" w:type="dxa"/>
            <w:tcBorders>
              <w:top w:val="single" w:color="auto" w:sz="4" w:space="0"/>
              <w:left w:val="single" w:color="auto" w:sz="4" w:space="0"/>
              <w:bottom w:val="single" w:color="auto" w:sz="4" w:space="0"/>
              <w:right w:val="single" w:color="auto" w:sz="4" w:space="0"/>
            </w:tcBorders>
            <w:vAlign w:val="center"/>
          </w:tcPr>
          <w:p w14:paraId="6F4F4A62">
            <w:pPr>
              <w:widowControl/>
              <w:spacing w:line="360" w:lineRule="auto"/>
              <w:rPr>
                <w:rFonts w:ascii="Arial" w:hAnsi="Arial" w:eastAsia="仿宋" w:cs="Arial"/>
                <w:kern w:val="0"/>
                <w:sz w:val="24"/>
              </w:rPr>
            </w:pPr>
            <w:r>
              <w:rPr>
                <w:rFonts w:hint="eastAsia" w:ascii="Arial" w:hAnsi="Arial" w:eastAsia="仿宋" w:cs="Arial"/>
                <w:kern w:val="0"/>
                <w:sz w:val="24"/>
              </w:rPr>
              <w:t>根据提供的服务方案综合评分：</w:t>
            </w:r>
          </w:p>
          <w:p w14:paraId="6729279B">
            <w:pPr>
              <w:widowControl/>
              <w:spacing w:line="360" w:lineRule="auto"/>
              <w:rPr>
                <w:rFonts w:ascii="Arial" w:hAnsi="Arial" w:eastAsia="仿宋" w:cs="Arial"/>
                <w:kern w:val="0"/>
                <w:sz w:val="24"/>
              </w:rPr>
            </w:pPr>
            <w:r>
              <w:rPr>
                <w:rFonts w:hint="eastAsia" w:ascii="Arial" w:hAnsi="Arial" w:eastAsia="仿宋" w:cs="Arial"/>
                <w:kern w:val="0"/>
                <w:sz w:val="24"/>
              </w:rPr>
              <w:t>1.服务方案完善、合理，针对性、可行性强得20分；</w:t>
            </w:r>
          </w:p>
          <w:p w14:paraId="6BBA2214">
            <w:pPr>
              <w:widowControl/>
              <w:spacing w:line="360" w:lineRule="auto"/>
              <w:rPr>
                <w:rFonts w:ascii="Arial" w:hAnsi="Arial" w:eastAsia="仿宋" w:cs="Arial"/>
                <w:kern w:val="0"/>
                <w:sz w:val="24"/>
              </w:rPr>
            </w:pPr>
            <w:r>
              <w:rPr>
                <w:rFonts w:hint="eastAsia" w:ascii="Arial" w:hAnsi="Arial" w:eastAsia="仿宋" w:cs="Arial"/>
                <w:kern w:val="0"/>
                <w:sz w:val="24"/>
              </w:rPr>
              <w:t>2.服务方案较完善、合理，针对性、可行性较强得15分；</w:t>
            </w:r>
          </w:p>
          <w:p w14:paraId="11B36537">
            <w:pPr>
              <w:widowControl/>
              <w:spacing w:line="360" w:lineRule="auto"/>
              <w:rPr>
                <w:rFonts w:ascii="Arial" w:hAnsi="Arial" w:eastAsia="仿宋" w:cs="Arial"/>
                <w:kern w:val="0"/>
                <w:sz w:val="24"/>
              </w:rPr>
            </w:pPr>
            <w:r>
              <w:rPr>
                <w:rFonts w:hint="eastAsia" w:ascii="Arial" w:hAnsi="Arial" w:eastAsia="仿宋" w:cs="Arial"/>
                <w:kern w:val="0"/>
                <w:sz w:val="24"/>
              </w:rPr>
              <w:t>3.服务方案一般完善、合理，针对性、可行性一般得10分；</w:t>
            </w:r>
          </w:p>
          <w:p w14:paraId="6A26BFA0">
            <w:pPr>
              <w:widowControl/>
              <w:spacing w:line="360" w:lineRule="auto"/>
              <w:rPr>
                <w:rFonts w:ascii="Arial" w:hAnsi="Arial" w:eastAsia="仿宋" w:cs="Arial"/>
                <w:kern w:val="0"/>
                <w:sz w:val="24"/>
              </w:rPr>
            </w:pPr>
            <w:r>
              <w:rPr>
                <w:rFonts w:hint="eastAsia" w:ascii="Arial" w:hAnsi="Arial" w:eastAsia="仿宋" w:cs="Arial"/>
                <w:kern w:val="0"/>
                <w:sz w:val="24"/>
              </w:rPr>
              <w:t>4.服务方案完善程度较差、合理性较差，针对性、可行性较差得5分；</w:t>
            </w:r>
          </w:p>
          <w:p w14:paraId="6B0A5D12">
            <w:pPr>
              <w:widowControl/>
              <w:spacing w:line="360" w:lineRule="auto"/>
              <w:rPr>
                <w:rFonts w:ascii="Arial" w:hAnsi="Arial" w:eastAsia="仿宋" w:cs="Arial"/>
                <w:kern w:val="0"/>
                <w:sz w:val="24"/>
              </w:rPr>
            </w:pPr>
            <w:r>
              <w:rPr>
                <w:rFonts w:hint="eastAsia" w:ascii="Arial" w:hAnsi="Arial" w:eastAsia="仿宋" w:cs="Arial"/>
                <w:kern w:val="0"/>
                <w:sz w:val="24"/>
              </w:rPr>
              <w:t>未提供不得分。</w:t>
            </w:r>
          </w:p>
        </w:tc>
        <w:tc>
          <w:tcPr>
            <w:tcW w:w="743" w:type="dxa"/>
            <w:tcBorders>
              <w:top w:val="single" w:color="auto" w:sz="4" w:space="0"/>
              <w:left w:val="single" w:color="auto" w:sz="4" w:space="0"/>
              <w:bottom w:val="single" w:color="auto" w:sz="4" w:space="0"/>
              <w:right w:val="single" w:color="auto" w:sz="4" w:space="0"/>
            </w:tcBorders>
            <w:vAlign w:val="center"/>
          </w:tcPr>
          <w:p w14:paraId="63C85EAF">
            <w:pPr>
              <w:widowControl/>
              <w:spacing w:line="360" w:lineRule="auto"/>
              <w:jc w:val="center"/>
              <w:rPr>
                <w:rFonts w:ascii="Arial" w:hAnsi="Arial" w:eastAsia="仿宋" w:cs="Arial"/>
                <w:kern w:val="0"/>
                <w:sz w:val="24"/>
              </w:rPr>
            </w:pPr>
            <w:r>
              <w:rPr>
                <w:rFonts w:hint="eastAsia" w:ascii="Arial" w:hAnsi="Arial" w:eastAsia="仿宋" w:cs="Arial"/>
                <w:kern w:val="0"/>
                <w:sz w:val="24"/>
              </w:rPr>
              <w:t>20</w:t>
            </w:r>
          </w:p>
        </w:tc>
      </w:tr>
      <w:tr w14:paraId="7EA4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74" w:type="dxa"/>
            <w:tcBorders>
              <w:top w:val="single" w:color="auto" w:sz="4" w:space="0"/>
              <w:left w:val="single" w:color="auto" w:sz="4" w:space="0"/>
              <w:bottom w:val="single" w:color="auto" w:sz="4" w:space="0"/>
              <w:right w:val="single" w:color="auto" w:sz="4" w:space="0"/>
            </w:tcBorders>
            <w:vAlign w:val="center"/>
          </w:tcPr>
          <w:p w14:paraId="732537B6">
            <w:pPr>
              <w:spacing w:line="360" w:lineRule="auto"/>
              <w:jc w:val="center"/>
              <w:rPr>
                <w:rFonts w:ascii="Arial" w:hAnsi="Arial" w:eastAsia="仿宋" w:cs="Arial"/>
                <w:kern w:val="0"/>
                <w:sz w:val="24"/>
              </w:rPr>
            </w:pPr>
            <w:r>
              <w:rPr>
                <w:rFonts w:hint="eastAsia" w:ascii="Arial" w:hAnsi="Arial" w:eastAsia="仿宋" w:cs="Arial"/>
                <w:kern w:val="0"/>
                <w:sz w:val="24"/>
              </w:rPr>
              <w:t>项目人员配备</w:t>
            </w:r>
          </w:p>
        </w:tc>
        <w:tc>
          <w:tcPr>
            <w:tcW w:w="6346" w:type="dxa"/>
            <w:tcBorders>
              <w:top w:val="single" w:color="auto" w:sz="4" w:space="0"/>
              <w:left w:val="single" w:color="auto" w:sz="4" w:space="0"/>
              <w:bottom w:val="single" w:color="auto" w:sz="4" w:space="0"/>
              <w:right w:val="single" w:color="auto" w:sz="4" w:space="0"/>
            </w:tcBorders>
            <w:vAlign w:val="center"/>
          </w:tcPr>
          <w:p w14:paraId="01FCB903">
            <w:pPr>
              <w:adjustRightInd w:val="0"/>
              <w:snapToGrid w:val="0"/>
              <w:spacing w:line="360" w:lineRule="auto"/>
              <w:rPr>
                <w:rFonts w:ascii="Arial" w:hAnsi="Arial" w:eastAsia="仿宋" w:cs="Arial"/>
                <w:kern w:val="0"/>
                <w:sz w:val="24"/>
              </w:rPr>
            </w:pPr>
            <w:r>
              <w:rPr>
                <w:rFonts w:hint="eastAsia" w:ascii="Arial" w:hAnsi="Arial" w:eastAsia="仿宋" w:cs="Arial"/>
                <w:kern w:val="0"/>
                <w:sz w:val="24"/>
              </w:rPr>
              <w:t>根据拟派本项目的主要管理人员和其他人员的资历及配置方案进行综合评审：</w:t>
            </w:r>
          </w:p>
          <w:p w14:paraId="28DA86AA">
            <w:pPr>
              <w:adjustRightInd w:val="0"/>
              <w:snapToGrid w:val="0"/>
              <w:spacing w:line="360" w:lineRule="auto"/>
              <w:rPr>
                <w:rFonts w:ascii="Arial" w:hAnsi="Arial" w:eastAsia="仿宋" w:cs="Arial"/>
                <w:kern w:val="0"/>
                <w:sz w:val="24"/>
              </w:rPr>
            </w:pPr>
            <w:r>
              <w:rPr>
                <w:rFonts w:hint="eastAsia" w:ascii="Arial" w:hAnsi="Arial" w:eastAsia="仿宋" w:cs="Arial"/>
                <w:kern w:val="0"/>
                <w:sz w:val="24"/>
              </w:rPr>
              <w:t>1.团队配备合理、完善、经验丰富得10分；</w:t>
            </w:r>
          </w:p>
          <w:p w14:paraId="5C84C5DC">
            <w:pPr>
              <w:adjustRightInd w:val="0"/>
              <w:snapToGrid w:val="0"/>
              <w:spacing w:line="360" w:lineRule="auto"/>
              <w:rPr>
                <w:rFonts w:ascii="Arial" w:hAnsi="Arial" w:eastAsia="仿宋" w:cs="Arial"/>
                <w:kern w:val="0"/>
                <w:sz w:val="24"/>
              </w:rPr>
            </w:pPr>
            <w:r>
              <w:rPr>
                <w:rFonts w:hint="eastAsia" w:ascii="Arial" w:hAnsi="Arial" w:eastAsia="仿宋" w:cs="Arial"/>
                <w:kern w:val="0"/>
                <w:sz w:val="24"/>
              </w:rPr>
              <w:t>2.团队配备较合理、较完善、经验较丰富得7分；</w:t>
            </w:r>
          </w:p>
          <w:p w14:paraId="04BECADB">
            <w:pPr>
              <w:adjustRightInd w:val="0"/>
              <w:snapToGrid w:val="0"/>
              <w:spacing w:line="360" w:lineRule="auto"/>
              <w:rPr>
                <w:rFonts w:ascii="Arial" w:hAnsi="Arial" w:eastAsia="仿宋" w:cs="Arial"/>
                <w:kern w:val="0"/>
                <w:sz w:val="24"/>
              </w:rPr>
            </w:pPr>
            <w:r>
              <w:rPr>
                <w:rFonts w:hint="eastAsia" w:ascii="Arial" w:hAnsi="Arial" w:eastAsia="仿宋" w:cs="Arial"/>
                <w:kern w:val="0"/>
                <w:sz w:val="24"/>
              </w:rPr>
              <w:t>3.团队配备一般、完善程度一般、经验一般得4分；</w:t>
            </w:r>
          </w:p>
          <w:p w14:paraId="6960E401">
            <w:pPr>
              <w:adjustRightInd w:val="0"/>
              <w:snapToGrid w:val="0"/>
              <w:spacing w:line="360" w:lineRule="auto"/>
              <w:rPr>
                <w:rFonts w:ascii="Arial" w:hAnsi="Arial" w:eastAsia="仿宋" w:cs="Arial"/>
                <w:kern w:val="0"/>
                <w:sz w:val="24"/>
              </w:rPr>
            </w:pPr>
            <w:r>
              <w:rPr>
                <w:rFonts w:hint="eastAsia" w:ascii="Arial" w:hAnsi="Arial" w:eastAsia="仿宋" w:cs="Arial"/>
                <w:kern w:val="0"/>
                <w:sz w:val="24"/>
              </w:rPr>
              <w:t>4.团队配备欠合理、完善程度较差、经验欠丰富得1分；</w:t>
            </w:r>
          </w:p>
          <w:p w14:paraId="1FD94389">
            <w:pPr>
              <w:widowControl/>
              <w:spacing w:line="360" w:lineRule="auto"/>
              <w:rPr>
                <w:rFonts w:ascii="Arial" w:hAnsi="Arial" w:eastAsia="仿宋" w:cs="Arial"/>
                <w:kern w:val="0"/>
                <w:sz w:val="24"/>
              </w:rPr>
            </w:pPr>
            <w:r>
              <w:rPr>
                <w:rFonts w:hint="eastAsia" w:ascii="Arial" w:hAnsi="Arial" w:eastAsia="仿宋" w:cs="Arial"/>
                <w:kern w:val="0"/>
                <w:sz w:val="24"/>
              </w:rPr>
              <w:t>5.未提供不得分。</w:t>
            </w:r>
          </w:p>
        </w:tc>
        <w:tc>
          <w:tcPr>
            <w:tcW w:w="743" w:type="dxa"/>
            <w:tcBorders>
              <w:top w:val="single" w:color="auto" w:sz="4" w:space="0"/>
              <w:left w:val="single" w:color="auto" w:sz="4" w:space="0"/>
              <w:bottom w:val="single" w:color="auto" w:sz="4" w:space="0"/>
              <w:right w:val="single" w:color="auto" w:sz="4" w:space="0"/>
            </w:tcBorders>
            <w:vAlign w:val="center"/>
          </w:tcPr>
          <w:p w14:paraId="23E82472">
            <w:pPr>
              <w:widowControl/>
              <w:spacing w:line="360" w:lineRule="auto"/>
              <w:jc w:val="center"/>
              <w:rPr>
                <w:rFonts w:ascii="Arial" w:hAnsi="Arial" w:eastAsia="仿宋" w:cs="Arial"/>
                <w:kern w:val="0"/>
                <w:sz w:val="24"/>
              </w:rPr>
            </w:pPr>
            <w:r>
              <w:rPr>
                <w:rFonts w:hint="eastAsia" w:ascii="Arial" w:hAnsi="Arial" w:eastAsia="仿宋" w:cs="Arial"/>
                <w:kern w:val="0"/>
                <w:sz w:val="24"/>
              </w:rPr>
              <w:t>10</w:t>
            </w:r>
          </w:p>
        </w:tc>
      </w:tr>
      <w:tr w14:paraId="007E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1774" w:type="dxa"/>
            <w:tcBorders>
              <w:top w:val="single" w:color="auto" w:sz="4" w:space="0"/>
              <w:left w:val="single" w:color="auto" w:sz="4" w:space="0"/>
              <w:bottom w:val="single" w:color="auto" w:sz="4" w:space="0"/>
              <w:right w:val="single" w:color="auto" w:sz="4" w:space="0"/>
            </w:tcBorders>
            <w:vAlign w:val="center"/>
          </w:tcPr>
          <w:p w14:paraId="41B10167">
            <w:pPr>
              <w:spacing w:line="360" w:lineRule="auto"/>
              <w:jc w:val="center"/>
              <w:rPr>
                <w:rFonts w:ascii="Arial" w:hAnsi="Arial" w:eastAsia="仿宋" w:cs="Arial"/>
                <w:kern w:val="0"/>
                <w:sz w:val="24"/>
              </w:rPr>
            </w:pPr>
            <w:r>
              <w:rPr>
                <w:rFonts w:hint="eastAsia" w:ascii="Arial" w:hAnsi="Arial" w:eastAsia="仿宋" w:cs="Arial"/>
                <w:kern w:val="0"/>
                <w:sz w:val="24"/>
              </w:rPr>
              <w:t>物资装备</w:t>
            </w:r>
          </w:p>
        </w:tc>
        <w:tc>
          <w:tcPr>
            <w:tcW w:w="6346" w:type="dxa"/>
            <w:tcBorders>
              <w:top w:val="single" w:color="auto" w:sz="4" w:space="0"/>
              <w:left w:val="single" w:color="auto" w:sz="4" w:space="0"/>
              <w:bottom w:val="single" w:color="auto" w:sz="4" w:space="0"/>
              <w:right w:val="single" w:color="auto" w:sz="4" w:space="0"/>
            </w:tcBorders>
            <w:vAlign w:val="center"/>
          </w:tcPr>
          <w:p w14:paraId="4B3FF266">
            <w:pPr>
              <w:spacing w:line="360" w:lineRule="auto"/>
              <w:rPr>
                <w:rFonts w:ascii="Arial" w:hAnsi="Arial" w:eastAsia="仿宋" w:cs="Arial"/>
                <w:kern w:val="0"/>
                <w:sz w:val="24"/>
              </w:rPr>
            </w:pPr>
            <w:r>
              <w:rPr>
                <w:rFonts w:hint="eastAsia" w:ascii="Arial" w:hAnsi="Arial" w:eastAsia="仿宋" w:cs="Arial"/>
                <w:kern w:val="0"/>
                <w:sz w:val="24"/>
              </w:rPr>
              <w:t>根据提供的车辆、收容器等情况进行综合评分：</w:t>
            </w:r>
          </w:p>
          <w:p w14:paraId="0260E8A6">
            <w:pPr>
              <w:widowControl/>
              <w:spacing w:line="360" w:lineRule="auto"/>
              <w:jc w:val="left"/>
              <w:rPr>
                <w:rFonts w:ascii="Arial" w:hAnsi="Arial" w:eastAsia="仿宋" w:cs="Arial"/>
                <w:kern w:val="0"/>
                <w:sz w:val="24"/>
              </w:rPr>
            </w:pPr>
            <w:r>
              <w:rPr>
                <w:rFonts w:hint="eastAsia" w:ascii="Arial" w:hAnsi="Arial" w:eastAsia="仿宋" w:cs="Arial"/>
                <w:kern w:val="0"/>
                <w:sz w:val="24"/>
              </w:rPr>
              <w:t>1.配备设备齐全、先进、合理得10分；</w:t>
            </w:r>
          </w:p>
          <w:p w14:paraId="5EE3770F">
            <w:pPr>
              <w:widowControl/>
              <w:spacing w:line="360" w:lineRule="auto"/>
              <w:jc w:val="left"/>
              <w:rPr>
                <w:rFonts w:ascii="Arial" w:hAnsi="Arial" w:eastAsia="仿宋" w:cs="Arial"/>
                <w:kern w:val="0"/>
                <w:sz w:val="24"/>
              </w:rPr>
            </w:pPr>
            <w:r>
              <w:rPr>
                <w:rFonts w:hint="eastAsia" w:ascii="Arial" w:hAnsi="Arial" w:eastAsia="仿宋" w:cs="Arial"/>
                <w:kern w:val="0"/>
                <w:sz w:val="24"/>
              </w:rPr>
              <w:t>2.配备设备较齐全、先进性较强、合理性较好得7分；</w:t>
            </w:r>
          </w:p>
          <w:p w14:paraId="745B4B86">
            <w:pPr>
              <w:widowControl/>
              <w:spacing w:line="360" w:lineRule="auto"/>
              <w:jc w:val="left"/>
              <w:rPr>
                <w:rFonts w:ascii="Arial" w:hAnsi="Arial" w:eastAsia="仿宋" w:cs="Arial"/>
                <w:kern w:val="0"/>
                <w:sz w:val="24"/>
              </w:rPr>
            </w:pPr>
            <w:r>
              <w:rPr>
                <w:rFonts w:hint="eastAsia" w:ascii="Arial" w:hAnsi="Arial" w:eastAsia="仿宋" w:cs="Arial"/>
                <w:kern w:val="0"/>
                <w:sz w:val="24"/>
              </w:rPr>
              <w:t>3.配备设备一般、先进性一般、合理性一般得4分；</w:t>
            </w:r>
          </w:p>
          <w:p w14:paraId="76D7BDB4">
            <w:pPr>
              <w:widowControl/>
              <w:spacing w:line="360" w:lineRule="auto"/>
              <w:jc w:val="left"/>
              <w:rPr>
                <w:rFonts w:ascii="Arial" w:hAnsi="Arial" w:eastAsia="仿宋" w:cs="Arial"/>
                <w:kern w:val="0"/>
                <w:sz w:val="24"/>
              </w:rPr>
            </w:pPr>
            <w:r>
              <w:rPr>
                <w:rFonts w:hint="eastAsia" w:ascii="Arial" w:hAnsi="Arial" w:eastAsia="仿宋" w:cs="Arial"/>
                <w:kern w:val="0"/>
                <w:sz w:val="24"/>
              </w:rPr>
              <w:t>4.配备设备少、先进性差、合理性差得1分；</w:t>
            </w:r>
          </w:p>
          <w:p w14:paraId="43F9CF62">
            <w:pPr>
              <w:spacing w:line="360" w:lineRule="auto"/>
              <w:rPr>
                <w:rFonts w:ascii="Arial" w:hAnsi="Arial" w:eastAsia="仿宋" w:cs="Arial"/>
                <w:kern w:val="0"/>
                <w:sz w:val="24"/>
              </w:rPr>
            </w:pPr>
            <w:r>
              <w:rPr>
                <w:rFonts w:hint="eastAsia" w:ascii="Arial" w:hAnsi="Arial" w:eastAsia="仿宋" w:cs="Arial"/>
                <w:kern w:val="0"/>
                <w:sz w:val="24"/>
              </w:rPr>
              <w:t>5.未提供不得分。</w:t>
            </w:r>
          </w:p>
        </w:tc>
        <w:tc>
          <w:tcPr>
            <w:tcW w:w="743" w:type="dxa"/>
            <w:tcBorders>
              <w:top w:val="single" w:color="auto" w:sz="4" w:space="0"/>
              <w:left w:val="single" w:color="auto" w:sz="4" w:space="0"/>
              <w:bottom w:val="single" w:color="auto" w:sz="4" w:space="0"/>
              <w:right w:val="single" w:color="auto" w:sz="4" w:space="0"/>
            </w:tcBorders>
            <w:vAlign w:val="center"/>
          </w:tcPr>
          <w:p w14:paraId="156F4DD9">
            <w:pPr>
              <w:widowControl/>
              <w:spacing w:line="360" w:lineRule="auto"/>
              <w:jc w:val="center"/>
              <w:rPr>
                <w:rFonts w:ascii="Arial" w:hAnsi="Arial" w:eastAsia="仿宋" w:cs="Arial"/>
                <w:kern w:val="0"/>
                <w:sz w:val="24"/>
              </w:rPr>
            </w:pPr>
            <w:r>
              <w:rPr>
                <w:rFonts w:hint="eastAsia" w:ascii="Arial" w:hAnsi="Arial" w:eastAsia="仿宋" w:cs="Arial"/>
                <w:kern w:val="0"/>
                <w:sz w:val="24"/>
              </w:rPr>
              <w:t>10</w:t>
            </w:r>
          </w:p>
        </w:tc>
      </w:tr>
      <w:tr w14:paraId="0A3A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1774" w:type="dxa"/>
            <w:tcBorders>
              <w:top w:val="single" w:color="auto" w:sz="4" w:space="0"/>
              <w:left w:val="single" w:color="auto" w:sz="4" w:space="0"/>
              <w:bottom w:val="single" w:color="auto" w:sz="4" w:space="0"/>
              <w:right w:val="single" w:color="auto" w:sz="4" w:space="0"/>
            </w:tcBorders>
            <w:vAlign w:val="center"/>
          </w:tcPr>
          <w:p w14:paraId="01B2BC15">
            <w:pPr>
              <w:spacing w:line="360" w:lineRule="auto"/>
              <w:jc w:val="center"/>
              <w:rPr>
                <w:rFonts w:ascii="Arial" w:hAnsi="Arial" w:eastAsia="仿宋" w:cs="Arial"/>
                <w:kern w:val="0"/>
                <w:sz w:val="24"/>
              </w:rPr>
            </w:pPr>
            <w:r>
              <w:rPr>
                <w:rFonts w:hint="eastAsia" w:ascii="Arial" w:hAnsi="Arial" w:eastAsia="仿宋" w:cs="Arial"/>
                <w:kern w:val="0"/>
                <w:sz w:val="24"/>
              </w:rPr>
              <w:t>紧急预案</w:t>
            </w:r>
          </w:p>
        </w:tc>
        <w:tc>
          <w:tcPr>
            <w:tcW w:w="6346" w:type="dxa"/>
            <w:tcBorders>
              <w:top w:val="single" w:color="auto" w:sz="4" w:space="0"/>
              <w:left w:val="single" w:color="auto" w:sz="4" w:space="0"/>
              <w:bottom w:val="single" w:color="auto" w:sz="4" w:space="0"/>
              <w:right w:val="single" w:color="auto" w:sz="4" w:space="0"/>
            </w:tcBorders>
            <w:vAlign w:val="center"/>
          </w:tcPr>
          <w:p w14:paraId="051941B4">
            <w:pPr>
              <w:widowControl/>
              <w:spacing w:line="360" w:lineRule="auto"/>
              <w:rPr>
                <w:rFonts w:ascii="Arial" w:hAnsi="Arial" w:eastAsia="仿宋" w:cs="Arial"/>
                <w:kern w:val="0"/>
                <w:sz w:val="24"/>
              </w:rPr>
            </w:pPr>
            <w:r>
              <w:rPr>
                <w:rFonts w:hint="eastAsia" w:ascii="Arial" w:hAnsi="Arial" w:eastAsia="仿宋" w:cs="Arial"/>
                <w:kern w:val="0"/>
                <w:sz w:val="24"/>
              </w:rPr>
              <w:t>根据提供的应急预案情况进行综合评审：</w:t>
            </w:r>
          </w:p>
          <w:p w14:paraId="15D75513">
            <w:pPr>
              <w:widowControl/>
              <w:snapToGrid w:val="0"/>
              <w:spacing w:line="360" w:lineRule="auto"/>
              <w:rPr>
                <w:rFonts w:ascii="Arial" w:hAnsi="Arial" w:eastAsia="仿宋" w:cs="Arial"/>
                <w:kern w:val="0"/>
                <w:sz w:val="24"/>
              </w:rPr>
            </w:pPr>
            <w:r>
              <w:rPr>
                <w:rFonts w:hint="eastAsia" w:ascii="Arial" w:hAnsi="Arial" w:eastAsia="仿宋" w:cs="Arial"/>
                <w:kern w:val="0"/>
                <w:sz w:val="24"/>
              </w:rPr>
              <w:t>1.方案详细、针对性强、可操作性强得</w:t>
            </w:r>
            <w:r>
              <w:rPr>
                <w:rFonts w:ascii="Arial" w:hAnsi="Arial" w:eastAsia="仿宋" w:cs="Arial"/>
                <w:kern w:val="0"/>
                <w:sz w:val="24"/>
              </w:rPr>
              <w:t>10</w:t>
            </w:r>
            <w:r>
              <w:rPr>
                <w:rFonts w:hint="eastAsia" w:ascii="Arial" w:hAnsi="Arial" w:eastAsia="仿宋" w:cs="Arial"/>
                <w:kern w:val="0"/>
                <w:sz w:val="24"/>
              </w:rPr>
              <w:t>分；</w:t>
            </w:r>
          </w:p>
          <w:p w14:paraId="6F1F9658">
            <w:pPr>
              <w:widowControl/>
              <w:snapToGrid w:val="0"/>
              <w:spacing w:line="360" w:lineRule="auto"/>
              <w:rPr>
                <w:rFonts w:ascii="Arial" w:hAnsi="Arial" w:eastAsia="仿宋" w:cs="Arial"/>
                <w:kern w:val="0"/>
                <w:sz w:val="24"/>
              </w:rPr>
            </w:pPr>
            <w:r>
              <w:rPr>
                <w:rFonts w:ascii="Arial" w:hAnsi="Arial" w:eastAsia="仿宋" w:cs="Arial"/>
                <w:kern w:val="0"/>
                <w:sz w:val="24"/>
              </w:rPr>
              <w:t>2.</w:t>
            </w:r>
            <w:r>
              <w:rPr>
                <w:rFonts w:hint="eastAsia" w:ascii="Arial" w:hAnsi="Arial" w:eastAsia="仿宋" w:cs="Arial"/>
                <w:kern w:val="0"/>
                <w:sz w:val="24"/>
              </w:rPr>
              <w:t xml:space="preserve"> 方案较详细、针对性较强、可操作性较强得</w:t>
            </w:r>
            <w:r>
              <w:rPr>
                <w:rFonts w:ascii="Arial" w:hAnsi="Arial" w:eastAsia="仿宋" w:cs="Arial"/>
                <w:kern w:val="0"/>
                <w:sz w:val="24"/>
              </w:rPr>
              <w:t>7</w:t>
            </w:r>
            <w:r>
              <w:rPr>
                <w:rFonts w:hint="eastAsia" w:ascii="Arial" w:hAnsi="Arial" w:eastAsia="仿宋" w:cs="Arial"/>
                <w:kern w:val="0"/>
                <w:sz w:val="24"/>
              </w:rPr>
              <w:t>分；</w:t>
            </w:r>
          </w:p>
          <w:p w14:paraId="660248C4">
            <w:pPr>
              <w:widowControl/>
              <w:snapToGrid w:val="0"/>
              <w:spacing w:line="360" w:lineRule="auto"/>
              <w:rPr>
                <w:rFonts w:ascii="Arial" w:hAnsi="Arial" w:eastAsia="仿宋" w:cs="Arial"/>
                <w:kern w:val="0"/>
                <w:sz w:val="24"/>
              </w:rPr>
            </w:pPr>
            <w:r>
              <w:rPr>
                <w:rFonts w:hint="eastAsia" w:ascii="Arial" w:hAnsi="Arial" w:eastAsia="仿宋" w:cs="Arial"/>
                <w:kern w:val="0"/>
                <w:sz w:val="24"/>
              </w:rPr>
              <w:t>2.方案描述一般、针对性一半、可操作性一般得</w:t>
            </w:r>
            <w:r>
              <w:rPr>
                <w:rFonts w:ascii="Arial" w:hAnsi="Arial" w:eastAsia="仿宋" w:cs="Arial"/>
                <w:kern w:val="0"/>
                <w:sz w:val="24"/>
              </w:rPr>
              <w:t>4</w:t>
            </w:r>
            <w:r>
              <w:rPr>
                <w:rFonts w:hint="eastAsia" w:ascii="Arial" w:hAnsi="Arial" w:eastAsia="仿宋" w:cs="Arial"/>
                <w:kern w:val="0"/>
                <w:sz w:val="24"/>
              </w:rPr>
              <w:t>分；</w:t>
            </w:r>
          </w:p>
          <w:p w14:paraId="0A524A79">
            <w:pPr>
              <w:widowControl/>
              <w:snapToGrid w:val="0"/>
              <w:spacing w:line="360" w:lineRule="auto"/>
              <w:rPr>
                <w:rFonts w:ascii="Arial" w:hAnsi="Arial" w:eastAsia="仿宋" w:cs="Arial"/>
                <w:kern w:val="0"/>
                <w:sz w:val="24"/>
              </w:rPr>
            </w:pPr>
            <w:r>
              <w:rPr>
                <w:rFonts w:hint="eastAsia" w:ascii="Arial" w:hAnsi="Arial" w:eastAsia="仿宋" w:cs="Arial"/>
                <w:kern w:val="0"/>
                <w:sz w:val="24"/>
              </w:rPr>
              <w:t>3.方案描述差，针对性较差、可操作性差得1分；</w:t>
            </w:r>
          </w:p>
          <w:p w14:paraId="1D257740">
            <w:pPr>
              <w:widowControl/>
              <w:spacing w:line="360" w:lineRule="auto"/>
              <w:rPr>
                <w:rFonts w:ascii="Arial" w:hAnsi="Arial" w:eastAsia="仿宋" w:cs="Arial"/>
                <w:kern w:val="0"/>
                <w:sz w:val="24"/>
              </w:rPr>
            </w:pPr>
            <w:r>
              <w:rPr>
                <w:rFonts w:hint="eastAsia" w:ascii="Arial" w:hAnsi="Arial" w:eastAsia="仿宋" w:cs="Arial"/>
                <w:kern w:val="0"/>
                <w:sz w:val="24"/>
              </w:rPr>
              <w:t>4.未提供不得分。</w:t>
            </w:r>
          </w:p>
        </w:tc>
        <w:tc>
          <w:tcPr>
            <w:tcW w:w="743" w:type="dxa"/>
            <w:tcBorders>
              <w:top w:val="single" w:color="auto" w:sz="4" w:space="0"/>
              <w:left w:val="single" w:color="auto" w:sz="4" w:space="0"/>
              <w:bottom w:val="single" w:color="auto" w:sz="4" w:space="0"/>
              <w:right w:val="single" w:color="auto" w:sz="4" w:space="0"/>
            </w:tcBorders>
            <w:vAlign w:val="center"/>
          </w:tcPr>
          <w:p w14:paraId="211E9753">
            <w:pPr>
              <w:widowControl/>
              <w:spacing w:line="360" w:lineRule="auto"/>
              <w:jc w:val="center"/>
              <w:rPr>
                <w:rFonts w:ascii="Arial" w:hAnsi="Arial" w:eastAsia="仿宋" w:cs="Arial"/>
                <w:kern w:val="0"/>
                <w:sz w:val="24"/>
              </w:rPr>
            </w:pPr>
            <w:r>
              <w:rPr>
                <w:rFonts w:ascii="Arial" w:hAnsi="Arial" w:eastAsia="仿宋" w:cs="Arial"/>
                <w:kern w:val="0"/>
                <w:sz w:val="24"/>
              </w:rPr>
              <w:t>10</w:t>
            </w:r>
          </w:p>
        </w:tc>
      </w:tr>
    </w:tbl>
    <w:p w14:paraId="1C7B0EF4">
      <w:pPr>
        <w:pStyle w:val="4"/>
        <w:spacing w:before="0" w:after="0" w:line="360" w:lineRule="auto"/>
        <w:rPr>
          <w:rStyle w:val="15"/>
          <w:rFonts w:ascii="宋体" w:hAnsi="宋体" w:eastAsia="宋体" w:cs="仿宋"/>
          <w:b w:val="0"/>
          <w:bCs/>
          <w:sz w:val="24"/>
          <w:szCs w:val="24"/>
        </w:rPr>
      </w:pPr>
      <w:r>
        <w:rPr>
          <w:rStyle w:val="15"/>
          <w:rFonts w:hint="eastAsia" w:ascii="宋体" w:hAnsi="宋体" w:eastAsia="宋体" w:cs="仿宋"/>
          <w:b w:val="0"/>
          <w:bCs/>
          <w:sz w:val="24"/>
          <w:szCs w:val="24"/>
        </w:rPr>
        <w:t>14.响应文件的澄清</w:t>
      </w:r>
      <w:bookmarkEnd w:id="106"/>
    </w:p>
    <w:p w14:paraId="362C0966">
      <w:pPr>
        <w:pStyle w:val="5"/>
        <w:spacing w:line="360" w:lineRule="auto"/>
        <w:ind w:left="0" w:firstLine="480" w:firstLineChars="200"/>
        <w:rPr>
          <w:rFonts w:cs="仿宋"/>
          <w:szCs w:val="24"/>
        </w:rPr>
      </w:pPr>
      <w:bookmarkStart w:id="107" w:name="_Toc165631183"/>
      <w:bookmarkStart w:id="108" w:name="_Toc119920293"/>
      <w:bookmarkStart w:id="109" w:name="_Toc147284045"/>
      <w:bookmarkStart w:id="110" w:name="_Toc122340754"/>
      <w:bookmarkStart w:id="111" w:name="_Toc119663970"/>
      <w:bookmarkStart w:id="112" w:name="_Toc119844832"/>
      <w:bookmarkStart w:id="113" w:name="_Toc122262988"/>
      <w:bookmarkStart w:id="114" w:name="_Toc122488653"/>
      <w:bookmarkStart w:id="115" w:name="_Toc122490016"/>
      <w:bookmarkStart w:id="116" w:name="_Toc121984244"/>
      <w:bookmarkStart w:id="117" w:name="_Toc148071321"/>
      <w:bookmarkStart w:id="118" w:name="_Toc165485630"/>
      <w:bookmarkStart w:id="119" w:name="_Toc119839102"/>
      <w:bookmarkStart w:id="120" w:name="_Toc121708932"/>
      <w:bookmarkStart w:id="121" w:name="_Toc121710033"/>
      <w:bookmarkStart w:id="122" w:name="_Toc165645384"/>
      <w:r>
        <w:rPr>
          <w:rFonts w:hint="eastAsia" w:cs="仿宋"/>
          <w:szCs w:val="24"/>
        </w:rPr>
        <w:t>在响应期间，评审小组可要求参选人对其响应文件进行澄清，但不得寻求、提供或允许对参与响应报价等实质性内容做任何更改。有关澄清的要求和答复均应以书面形式提交，澄清的内容应由参选人的法定代表人或其授权代表签字确认，并作为响应文件的组成部分具有同等的法律效力。</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8640DBC">
      <w:pPr>
        <w:pStyle w:val="4"/>
        <w:spacing w:before="0" w:after="0" w:line="360" w:lineRule="auto"/>
        <w:rPr>
          <w:rStyle w:val="15"/>
          <w:rFonts w:ascii="宋体" w:hAnsi="宋体" w:eastAsia="宋体" w:cs="仿宋"/>
          <w:b w:val="0"/>
          <w:bCs/>
          <w:sz w:val="24"/>
          <w:szCs w:val="24"/>
        </w:rPr>
      </w:pPr>
      <w:bookmarkStart w:id="123" w:name="_Toc23859197"/>
      <w:r>
        <w:rPr>
          <w:rStyle w:val="15"/>
          <w:rFonts w:hint="eastAsia" w:ascii="宋体" w:hAnsi="宋体" w:eastAsia="宋体" w:cs="仿宋"/>
          <w:b w:val="0"/>
          <w:bCs/>
          <w:sz w:val="24"/>
          <w:szCs w:val="24"/>
        </w:rPr>
        <w:t>15.确定成交人</w:t>
      </w:r>
      <w:bookmarkEnd w:id="123"/>
    </w:p>
    <w:p w14:paraId="3B84241A">
      <w:pPr>
        <w:adjustRightInd w:val="0"/>
        <w:snapToGrid w:val="0"/>
        <w:spacing w:line="360" w:lineRule="auto"/>
        <w:ind w:firstLine="480" w:firstLineChars="200"/>
        <w:rPr>
          <w:rFonts w:ascii="宋体" w:hAnsi="宋体" w:cs="仿宋"/>
        </w:rPr>
      </w:pPr>
      <w:r>
        <w:rPr>
          <w:rFonts w:hint="eastAsia" w:ascii="宋体" w:hAnsi="宋体" w:cs="仿宋"/>
        </w:rPr>
        <w:t>按综合得分高低排序，排名第一的为第一成交候选人，评审报告经批准后由比选人向成交人发出成交通知书。</w:t>
      </w:r>
      <w:bookmarkEnd w:id="97"/>
    </w:p>
    <w:p w14:paraId="4F748EC4">
      <w:pPr>
        <w:pStyle w:val="2"/>
        <w:spacing w:before="0" w:after="0" w:line="360" w:lineRule="auto"/>
        <w:rPr>
          <w:rFonts w:ascii="宋体" w:hAnsi="宋体" w:cs="仿宋"/>
          <w:szCs w:val="24"/>
        </w:rPr>
      </w:pPr>
      <w:bookmarkStart w:id="124" w:name="_Toc294630366"/>
      <w:bookmarkEnd w:id="124"/>
      <w:bookmarkStart w:id="125" w:name="_Toc295443736"/>
      <w:bookmarkEnd w:id="125"/>
      <w:bookmarkStart w:id="126" w:name="_Toc294429678"/>
      <w:bookmarkEnd w:id="126"/>
      <w:bookmarkStart w:id="127" w:name="_Toc385992360"/>
      <w:bookmarkStart w:id="128" w:name="_Toc452381608"/>
      <w:bookmarkStart w:id="129" w:name="_Toc23859198"/>
      <w:r>
        <w:rPr>
          <w:rFonts w:hint="eastAsia" w:ascii="宋体" w:hAnsi="宋体" w:cs="仿宋"/>
          <w:szCs w:val="24"/>
        </w:rPr>
        <w:t>五、授予合同</w:t>
      </w:r>
      <w:bookmarkEnd w:id="127"/>
      <w:bookmarkEnd w:id="128"/>
      <w:bookmarkEnd w:id="129"/>
    </w:p>
    <w:p w14:paraId="1CCE61C7">
      <w:pPr>
        <w:pStyle w:val="4"/>
        <w:spacing w:before="0" w:after="0" w:line="360" w:lineRule="auto"/>
        <w:rPr>
          <w:rStyle w:val="15"/>
          <w:rFonts w:ascii="宋体" w:hAnsi="宋体" w:eastAsia="宋体" w:cs="仿宋"/>
          <w:b w:val="0"/>
          <w:bCs/>
          <w:sz w:val="24"/>
          <w:szCs w:val="24"/>
        </w:rPr>
      </w:pPr>
      <w:bookmarkStart w:id="130" w:name="_Toc23859199"/>
      <w:r>
        <w:rPr>
          <w:rStyle w:val="15"/>
          <w:rFonts w:hint="eastAsia" w:ascii="宋体" w:hAnsi="宋体" w:eastAsia="宋体" w:cs="仿宋"/>
          <w:b w:val="0"/>
          <w:bCs/>
          <w:sz w:val="24"/>
          <w:szCs w:val="24"/>
        </w:rPr>
        <w:t>16.合同授予的条件</w:t>
      </w:r>
      <w:bookmarkEnd w:id="130"/>
    </w:p>
    <w:p w14:paraId="7A8B6F18">
      <w:pPr>
        <w:adjustRightInd w:val="0"/>
        <w:snapToGrid w:val="0"/>
        <w:spacing w:line="360" w:lineRule="auto"/>
        <w:ind w:firstLine="480" w:firstLineChars="200"/>
        <w:rPr>
          <w:rFonts w:ascii="宋体" w:hAnsi="宋体" w:cs="仿宋"/>
        </w:rPr>
      </w:pPr>
      <w:r>
        <w:rPr>
          <w:rFonts w:hint="eastAsia" w:ascii="宋体" w:hAnsi="宋体" w:cs="仿宋"/>
        </w:rPr>
        <w:t>合同将授予符合比选人要求、并能圆满地履行合同的、对比选人最为有利的综合评分最高的参选人。</w:t>
      </w:r>
    </w:p>
    <w:p w14:paraId="224C7DA7">
      <w:pPr>
        <w:pStyle w:val="4"/>
        <w:spacing w:before="0" w:after="0" w:line="360" w:lineRule="auto"/>
        <w:rPr>
          <w:rStyle w:val="15"/>
          <w:rFonts w:ascii="宋体" w:hAnsi="宋体" w:eastAsia="宋体" w:cs="仿宋"/>
          <w:b w:val="0"/>
          <w:bCs/>
          <w:sz w:val="24"/>
          <w:szCs w:val="24"/>
        </w:rPr>
      </w:pPr>
      <w:bookmarkStart w:id="131" w:name="_Toc23859200"/>
      <w:r>
        <w:rPr>
          <w:rStyle w:val="15"/>
          <w:rFonts w:hint="eastAsia" w:ascii="宋体" w:hAnsi="宋体" w:eastAsia="宋体" w:cs="仿宋"/>
          <w:b w:val="0"/>
          <w:bCs/>
          <w:sz w:val="24"/>
          <w:szCs w:val="24"/>
        </w:rPr>
        <w:t>17.成交通知书</w:t>
      </w:r>
      <w:bookmarkEnd w:id="131"/>
    </w:p>
    <w:p w14:paraId="28523283">
      <w:pPr>
        <w:adjustRightInd w:val="0"/>
        <w:snapToGrid w:val="0"/>
        <w:spacing w:line="360" w:lineRule="auto"/>
        <w:ind w:firstLine="480" w:firstLineChars="200"/>
        <w:rPr>
          <w:rFonts w:ascii="宋体" w:hAnsi="宋体" w:cs="仿宋"/>
        </w:rPr>
      </w:pPr>
      <w:r>
        <w:rPr>
          <w:rFonts w:hint="eastAsia" w:ascii="宋体" w:hAnsi="宋体" w:cs="仿宋"/>
        </w:rPr>
        <w:t>比选人确定成交人后，向成交人发出成交通知书，比选人不承诺最低价成交。《成交通知书》将作为签订合同的依据。对未成交者，比选人不对未成交原因作出解释。</w:t>
      </w:r>
    </w:p>
    <w:p w14:paraId="5F083986">
      <w:pPr>
        <w:pStyle w:val="4"/>
        <w:spacing w:before="0" w:after="0" w:line="360" w:lineRule="auto"/>
        <w:rPr>
          <w:rStyle w:val="15"/>
          <w:rFonts w:ascii="宋体" w:hAnsi="宋体" w:eastAsia="宋体" w:cs="仿宋"/>
          <w:b w:val="0"/>
          <w:bCs/>
          <w:sz w:val="24"/>
          <w:szCs w:val="24"/>
        </w:rPr>
      </w:pPr>
      <w:bookmarkStart w:id="132" w:name="_Toc452381614"/>
      <w:bookmarkStart w:id="133" w:name="_Toc23859201"/>
      <w:bookmarkStart w:id="134" w:name="_Toc385992366"/>
      <w:r>
        <w:rPr>
          <w:rStyle w:val="15"/>
          <w:rFonts w:hint="eastAsia" w:ascii="宋体" w:hAnsi="宋体" w:eastAsia="宋体" w:cs="仿宋"/>
          <w:b w:val="0"/>
          <w:bCs/>
          <w:sz w:val="24"/>
          <w:szCs w:val="24"/>
        </w:rPr>
        <w:t>18.签订合同</w:t>
      </w:r>
      <w:bookmarkEnd w:id="132"/>
      <w:bookmarkEnd w:id="133"/>
      <w:bookmarkEnd w:id="134"/>
    </w:p>
    <w:p w14:paraId="2C578D77">
      <w:pPr>
        <w:adjustRightInd w:val="0"/>
        <w:snapToGrid w:val="0"/>
        <w:spacing w:line="360" w:lineRule="auto"/>
        <w:ind w:firstLine="484" w:firstLineChars="202"/>
        <w:rPr>
          <w:rFonts w:ascii="宋体" w:hAnsi="宋体" w:cs="仿宋"/>
        </w:rPr>
      </w:pPr>
      <w:r>
        <w:rPr>
          <w:rFonts w:hint="eastAsia" w:ascii="宋体" w:hAnsi="宋体" w:cs="仿宋"/>
        </w:rPr>
        <w:t>18.1成交人按《成交通知书》指定的时间、地点与比选人签订项目服务合同。</w:t>
      </w:r>
    </w:p>
    <w:p w14:paraId="6FE156BA">
      <w:pPr>
        <w:adjustRightInd w:val="0"/>
        <w:snapToGrid w:val="0"/>
        <w:spacing w:line="360" w:lineRule="auto"/>
        <w:ind w:firstLine="484" w:firstLineChars="202"/>
        <w:rPr>
          <w:rFonts w:ascii="宋体" w:hAnsi="宋体" w:cs="仿宋"/>
        </w:rPr>
      </w:pPr>
      <w:r>
        <w:rPr>
          <w:rFonts w:hint="eastAsia" w:ascii="宋体" w:hAnsi="宋体" w:cs="仿宋"/>
        </w:rPr>
        <w:t>18.2比选文件、响应文件及其双方确认的澄清文件等，均为有法律约束力的合同有效组成部分。</w:t>
      </w:r>
    </w:p>
    <w:p w14:paraId="03FB6BC4">
      <w:pPr>
        <w:adjustRightInd w:val="0"/>
        <w:snapToGrid w:val="0"/>
        <w:spacing w:line="360" w:lineRule="auto"/>
        <w:ind w:firstLine="484" w:firstLineChars="202"/>
        <w:rPr>
          <w:color w:val="000000"/>
        </w:rPr>
      </w:pPr>
      <w:r>
        <w:rPr>
          <w:rFonts w:hint="eastAsia" w:ascii="宋体" w:hAnsi="宋体" w:cs="仿宋"/>
        </w:rPr>
        <w:t>18.3本项目合同形式为固定单价合同，即在合同履行和价款结算时，合同单价固定不变。</w:t>
      </w:r>
    </w:p>
    <w:p w14:paraId="4ECCDD3E">
      <w:pPr>
        <w:spacing w:after="84" w:line="360" w:lineRule="auto"/>
        <w:jc w:val="center"/>
        <w:sectPr>
          <w:headerReference r:id="rId9" w:type="first"/>
          <w:footerReference r:id="rId10" w:type="first"/>
          <w:headerReference r:id="rId8" w:type="default"/>
          <w:pgSz w:w="11906" w:h="16838"/>
          <w:pgMar w:top="1440" w:right="1133" w:bottom="1440" w:left="1800" w:header="568" w:footer="850" w:gutter="0"/>
          <w:pgNumType w:fmt="numberInDash"/>
          <w:cols w:space="720" w:num="1"/>
          <w:docGrid w:linePitch="326" w:charSpace="0"/>
        </w:sectPr>
      </w:pPr>
    </w:p>
    <w:p w14:paraId="07DC3907">
      <w:pPr>
        <w:pStyle w:val="3"/>
        <w:keepNext w:val="0"/>
        <w:keepLines w:val="0"/>
        <w:tabs>
          <w:tab w:val="left" w:pos="1701"/>
        </w:tabs>
        <w:spacing w:before="0" w:after="0" w:line="240" w:lineRule="auto"/>
        <w:jc w:val="center"/>
        <w:rPr>
          <w:rFonts w:hAnsi="宋体"/>
          <w:bCs w:val="0"/>
          <w:color w:val="auto"/>
          <w:sz w:val="36"/>
          <w:szCs w:val="36"/>
        </w:rPr>
      </w:pPr>
      <w:bookmarkStart w:id="135" w:name="_Toc168175761"/>
      <w:bookmarkStart w:id="136" w:name="_Toc361335205"/>
      <w:bookmarkStart w:id="137" w:name="_Toc334023330"/>
      <w:r>
        <w:rPr>
          <w:rFonts w:hAnsi="宋体"/>
          <w:bCs w:val="0"/>
          <w:color w:val="auto"/>
          <w:sz w:val="36"/>
          <w:szCs w:val="36"/>
        </w:rPr>
        <w:t>第</w:t>
      </w:r>
      <w:r>
        <w:rPr>
          <w:rFonts w:hint="eastAsia" w:hAnsi="宋体"/>
          <w:bCs w:val="0"/>
          <w:color w:val="auto"/>
          <w:sz w:val="36"/>
          <w:szCs w:val="36"/>
        </w:rPr>
        <w:t>三章</w:t>
      </w:r>
      <w:r>
        <w:rPr>
          <w:rFonts w:hint="eastAsia" w:hAnsi="宋体"/>
          <w:bCs w:val="0"/>
          <w:color w:val="auto"/>
          <w:sz w:val="36"/>
          <w:szCs w:val="36"/>
        </w:rPr>
        <w:tab/>
      </w:r>
      <w:bookmarkEnd w:id="135"/>
      <w:bookmarkEnd w:id="136"/>
      <w:bookmarkEnd w:id="137"/>
      <w:r>
        <w:rPr>
          <w:rFonts w:hint="eastAsia" w:hAnsi="宋体"/>
          <w:bCs w:val="0"/>
          <w:color w:val="auto"/>
          <w:sz w:val="36"/>
          <w:szCs w:val="36"/>
        </w:rPr>
        <w:t>服务需求</w:t>
      </w:r>
    </w:p>
    <w:p w14:paraId="71C35827">
      <w:pPr>
        <w:pStyle w:val="16"/>
        <w:spacing w:line="360" w:lineRule="auto"/>
        <w:ind w:firstLine="0" w:firstLineChars="0"/>
        <w:contextualSpacing/>
        <w:outlineLvl w:val="1"/>
        <w:rPr>
          <w:rFonts w:hint="eastAsia" w:ascii="宋体" w:hAnsi="宋体" w:eastAsia="宋体" w:cs="Arial"/>
          <w:b/>
          <w:bCs/>
          <w:sz w:val="28"/>
          <w:szCs w:val="28"/>
          <w:lang w:val="en-US" w:eastAsia="zh-CN"/>
        </w:rPr>
      </w:pPr>
      <w:bookmarkStart w:id="138" w:name="_Toc334023346"/>
      <w:bookmarkStart w:id="139" w:name="_Toc361335222"/>
      <w:bookmarkStart w:id="140" w:name="_Toc168175762"/>
    </w:p>
    <w:p w14:paraId="776BFA4D">
      <w:pPr>
        <w:pStyle w:val="16"/>
        <w:spacing w:line="360" w:lineRule="auto"/>
        <w:ind w:firstLine="0" w:firstLineChars="0"/>
        <w:contextualSpacing/>
        <w:outlineLvl w:val="1"/>
        <w:rPr>
          <w:rFonts w:hint="eastAsia" w:ascii="宋体" w:hAnsi="宋体" w:eastAsia="宋体" w:cs="Arial"/>
          <w:b/>
          <w:bCs/>
          <w:sz w:val="24"/>
          <w:szCs w:val="24"/>
          <w:lang w:val="en-US" w:eastAsia="zh-CN"/>
        </w:rPr>
      </w:pPr>
      <w:r>
        <w:rPr>
          <w:rFonts w:hint="eastAsia" w:ascii="宋体" w:hAnsi="宋体" w:eastAsia="宋体" w:cs="Arial"/>
          <w:b/>
          <w:bCs/>
          <w:sz w:val="24"/>
          <w:szCs w:val="24"/>
          <w:lang w:val="en-US" w:eastAsia="zh-CN"/>
        </w:rPr>
        <w:t>一、</w:t>
      </w:r>
      <w:r>
        <w:rPr>
          <w:rFonts w:hint="eastAsia" w:ascii="宋体" w:hAnsi="宋体" w:cs="Arial"/>
          <w:b/>
          <w:bCs/>
          <w:sz w:val="24"/>
          <w:szCs w:val="24"/>
          <w:lang w:val="en-US" w:eastAsia="zh-CN"/>
        </w:rPr>
        <w:t>基本情况</w:t>
      </w:r>
    </w:p>
    <w:p w14:paraId="7CF23324">
      <w:pPr>
        <w:pStyle w:val="18"/>
        <w:tabs>
          <w:tab w:val="left" w:pos="312"/>
        </w:tabs>
        <w:spacing w:line="360" w:lineRule="auto"/>
        <w:ind w:firstLine="0" w:firstLineChars="0"/>
        <w:contextualSpacing/>
        <w:rPr>
          <w:rFonts w:hint="eastAsia" w:ascii="宋体" w:hAnsi="宋体" w:eastAsia="宋体" w:cs="Arial"/>
          <w:bCs/>
          <w:sz w:val="24"/>
          <w:szCs w:val="24"/>
        </w:rPr>
      </w:pPr>
      <w:r>
        <w:rPr>
          <w:rFonts w:hint="eastAsia" w:ascii="宋体" w:hAnsi="宋体" w:eastAsia="宋体" w:cs="Arial"/>
          <w:bCs/>
          <w:sz w:val="24"/>
          <w:szCs w:val="24"/>
        </w:rPr>
        <w:t>1、服务时间和地点</w:t>
      </w:r>
    </w:p>
    <w:p w14:paraId="4836B5D1">
      <w:pPr>
        <w:spacing w:line="360" w:lineRule="auto"/>
        <w:ind w:firstLine="480" w:firstLineChars="200"/>
        <w:contextualSpacing/>
        <w:rPr>
          <w:rFonts w:hint="eastAsia" w:ascii="宋体" w:hAnsi="宋体" w:cs="Arial"/>
          <w:sz w:val="24"/>
          <w:szCs w:val="24"/>
        </w:rPr>
      </w:pPr>
      <w:r>
        <w:rPr>
          <w:rFonts w:hint="eastAsia" w:ascii="宋体" w:hAnsi="宋体" w:cs="Arial"/>
          <w:sz w:val="24"/>
          <w:szCs w:val="24"/>
        </w:rPr>
        <w:t>服务</w:t>
      </w:r>
      <w:r>
        <w:rPr>
          <w:rFonts w:ascii="宋体" w:hAnsi="宋体" w:cs="Arial"/>
          <w:sz w:val="24"/>
          <w:szCs w:val="24"/>
        </w:rPr>
        <w:t>时间：</w:t>
      </w:r>
      <w:r>
        <w:rPr>
          <w:rFonts w:hint="eastAsia" w:ascii="宋体" w:hAnsi="宋体" w:cs="Arial"/>
          <w:sz w:val="24"/>
          <w:szCs w:val="24"/>
        </w:rPr>
        <w:t>2025</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日至</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647F0B1D">
      <w:pPr>
        <w:spacing w:line="360" w:lineRule="auto"/>
        <w:ind w:firstLine="480" w:firstLineChars="200"/>
        <w:contextualSpacing/>
        <w:rPr>
          <w:rFonts w:hint="eastAsia" w:ascii="宋体" w:hAnsi="宋体" w:cs="Arial"/>
          <w:sz w:val="24"/>
          <w:szCs w:val="24"/>
        </w:rPr>
      </w:pPr>
      <w:r>
        <w:rPr>
          <w:rFonts w:hint="eastAsia" w:ascii="宋体" w:hAnsi="宋体" w:cs="Arial"/>
          <w:sz w:val="24"/>
          <w:szCs w:val="24"/>
        </w:rPr>
        <w:t>服务</w:t>
      </w:r>
      <w:r>
        <w:rPr>
          <w:rFonts w:ascii="宋体" w:hAnsi="宋体" w:cs="Arial"/>
          <w:sz w:val="24"/>
          <w:szCs w:val="24"/>
        </w:rPr>
        <w:t>地点：</w:t>
      </w:r>
      <w:r>
        <w:rPr>
          <w:rFonts w:hint="eastAsia" w:ascii="宋体" w:hAnsi="宋体" w:cs="Arial"/>
          <w:bCs/>
          <w:sz w:val="24"/>
          <w:szCs w:val="24"/>
          <w:lang w:val="en-US" w:eastAsia="zh-CN"/>
        </w:rPr>
        <w:t>北京市石景山区石景山路5号</w:t>
      </w:r>
    </w:p>
    <w:p w14:paraId="741D5FEB">
      <w:pPr>
        <w:pStyle w:val="18"/>
        <w:tabs>
          <w:tab w:val="left" w:pos="312"/>
        </w:tabs>
        <w:spacing w:line="360" w:lineRule="auto"/>
        <w:ind w:firstLine="0" w:firstLineChars="0"/>
        <w:contextualSpacing/>
        <w:rPr>
          <w:rFonts w:hint="eastAsia" w:ascii="宋体" w:hAnsi="宋体" w:eastAsia="宋体" w:cs="Arial"/>
          <w:bCs/>
          <w:sz w:val="24"/>
          <w:szCs w:val="24"/>
        </w:rPr>
      </w:pPr>
      <w:r>
        <w:rPr>
          <w:rFonts w:hint="eastAsia" w:ascii="宋体" w:hAnsi="宋体" w:eastAsia="宋体" w:cs="Arial"/>
          <w:bCs/>
          <w:sz w:val="24"/>
          <w:szCs w:val="24"/>
        </w:rPr>
        <w:t>2、付款条件：</w:t>
      </w:r>
    </w:p>
    <w:p w14:paraId="45B5D94F">
      <w:pPr>
        <w:widowControl/>
        <w:spacing w:line="360" w:lineRule="auto"/>
        <w:ind w:right="-24" w:rightChars="-10" w:firstLine="480" w:firstLineChars="200"/>
        <w:rPr>
          <w:rFonts w:hint="eastAsia"/>
          <w:sz w:val="24"/>
          <w:szCs w:val="24"/>
        </w:rPr>
      </w:pPr>
      <w:r>
        <w:rPr>
          <w:rFonts w:hint="eastAsia" w:ascii="宋体" w:hAnsi="宋体"/>
          <w:kern w:val="0"/>
          <w:sz w:val="24"/>
          <w:szCs w:val="24"/>
        </w:rPr>
        <w:t>每</w:t>
      </w:r>
      <w:r>
        <w:rPr>
          <w:rFonts w:hint="eastAsia" w:ascii="宋体" w:hAnsi="宋体"/>
          <w:kern w:val="0"/>
          <w:sz w:val="24"/>
          <w:szCs w:val="24"/>
          <w:lang w:val="en-US" w:eastAsia="zh-CN"/>
        </w:rPr>
        <w:t>季度</w:t>
      </w:r>
      <w:r>
        <w:rPr>
          <w:rFonts w:hint="eastAsia" w:ascii="宋体" w:hAnsi="宋体"/>
          <w:kern w:val="0"/>
          <w:sz w:val="24"/>
          <w:szCs w:val="24"/>
        </w:rPr>
        <w:t>结算一次</w:t>
      </w:r>
      <w:r>
        <w:rPr>
          <w:rFonts w:hint="eastAsia" w:ascii="宋体" w:hAnsi="宋体"/>
          <w:kern w:val="0"/>
          <w:sz w:val="24"/>
          <w:szCs w:val="24"/>
          <w:lang w:eastAsia="zh-CN"/>
        </w:rPr>
        <w:t>，</w:t>
      </w:r>
      <w:r>
        <w:rPr>
          <w:rFonts w:hint="eastAsia" w:ascii="宋体" w:hAnsi="宋体" w:cs="Arial"/>
          <w:sz w:val="24"/>
          <w:szCs w:val="24"/>
        </w:rPr>
        <w:t>根据双方确认签字的医疗废物转移联单清运重量进行结算。</w:t>
      </w:r>
    </w:p>
    <w:p w14:paraId="7E642FB9">
      <w:pPr>
        <w:pStyle w:val="16"/>
        <w:spacing w:line="360" w:lineRule="auto"/>
        <w:ind w:firstLine="0" w:firstLineChars="0"/>
        <w:contextualSpacing/>
        <w:outlineLvl w:val="1"/>
        <w:rPr>
          <w:rFonts w:hint="eastAsia" w:ascii="宋体" w:hAnsi="宋体" w:cs="Arial"/>
          <w:b/>
          <w:sz w:val="24"/>
          <w:szCs w:val="24"/>
        </w:rPr>
      </w:pPr>
      <w:r>
        <w:rPr>
          <w:rFonts w:hint="eastAsia" w:ascii="宋体" w:hAnsi="宋体" w:cs="Arial"/>
          <w:b/>
          <w:bCs/>
          <w:sz w:val="24"/>
          <w:szCs w:val="24"/>
          <w:lang w:val="en-US" w:eastAsia="zh-CN"/>
        </w:rPr>
        <w:t>二</w:t>
      </w:r>
      <w:r>
        <w:rPr>
          <w:rFonts w:hint="eastAsia" w:ascii="宋体" w:hAnsi="宋体" w:cs="Arial"/>
          <w:b/>
          <w:bCs/>
          <w:sz w:val="24"/>
          <w:szCs w:val="24"/>
        </w:rPr>
        <w:t>、技术要求</w:t>
      </w:r>
    </w:p>
    <w:p w14:paraId="0B4648D8">
      <w:pPr>
        <w:pStyle w:val="18"/>
        <w:tabs>
          <w:tab w:val="left" w:pos="312"/>
        </w:tabs>
        <w:spacing w:line="360" w:lineRule="auto"/>
        <w:ind w:firstLine="0" w:firstLineChars="0"/>
        <w:contextualSpacing/>
        <w:rPr>
          <w:rFonts w:hint="eastAsia" w:ascii="宋体" w:hAnsi="宋体" w:eastAsia="宋体" w:cs="Arial"/>
          <w:bCs/>
          <w:sz w:val="24"/>
          <w:szCs w:val="24"/>
        </w:rPr>
      </w:pPr>
      <w:r>
        <w:rPr>
          <w:rFonts w:hint="eastAsia" w:ascii="宋体" w:hAnsi="宋体" w:eastAsia="宋体" w:cs="Arial"/>
          <w:bCs/>
          <w:sz w:val="24"/>
          <w:szCs w:val="24"/>
        </w:rPr>
        <w:t>1、项目概况</w:t>
      </w:r>
    </w:p>
    <w:p w14:paraId="6FDD9F04">
      <w:pPr>
        <w:pStyle w:val="17"/>
        <w:adjustRightInd w:val="0"/>
        <w:snapToGrid w:val="0"/>
        <w:spacing w:line="360" w:lineRule="auto"/>
        <w:ind w:firstLine="560"/>
        <w:jc w:val="both"/>
        <w:rPr>
          <w:rFonts w:hint="eastAsia" w:ascii="宋体" w:hAnsi="宋体"/>
          <w:bCs/>
          <w:sz w:val="24"/>
          <w:szCs w:val="24"/>
        </w:rPr>
      </w:pPr>
      <w:r>
        <w:rPr>
          <w:rFonts w:hint="eastAsia" w:ascii="宋体" w:hAnsi="宋体" w:cs="宋体"/>
          <w:sz w:val="24"/>
          <w:szCs w:val="24"/>
        </w:rPr>
        <w:t>清华大学玉泉医院</w:t>
      </w:r>
      <w:r>
        <w:rPr>
          <w:rFonts w:hint="eastAsia" w:ascii="宋体" w:hAnsi="宋体"/>
          <w:sz w:val="24"/>
          <w:szCs w:val="24"/>
          <w:lang w:val="en-US" w:eastAsia="zh-CN"/>
        </w:rPr>
        <w:t>医疗废物</w:t>
      </w:r>
      <w:r>
        <w:rPr>
          <w:rFonts w:hint="eastAsia" w:ascii="宋体" w:hAnsi="宋体"/>
          <w:sz w:val="24"/>
          <w:szCs w:val="24"/>
        </w:rPr>
        <w:t>全年产生量预估约120吨。</w:t>
      </w:r>
      <w:r>
        <w:rPr>
          <w:rFonts w:hint="eastAsia" w:ascii="宋体" w:hAnsi="宋体"/>
          <w:sz w:val="24"/>
          <w:szCs w:val="24"/>
          <w:lang w:val="en-US" w:eastAsia="zh-CN"/>
        </w:rPr>
        <w:t>该项目服务</w:t>
      </w:r>
      <w:r>
        <w:rPr>
          <w:rFonts w:hint="eastAsia" w:ascii="宋体" w:hAnsi="宋体"/>
          <w:sz w:val="24"/>
          <w:szCs w:val="24"/>
        </w:rPr>
        <w:t>保证及时到</w:t>
      </w:r>
      <w:r>
        <w:rPr>
          <w:rFonts w:hint="eastAsia" w:ascii="宋体" w:hAnsi="宋体"/>
          <w:sz w:val="24"/>
          <w:szCs w:val="24"/>
          <w:lang w:val="en-US" w:eastAsia="zh-CN"/>
        </w:rPr>
        <w:t>甲方</w:t>
      </w:r>
      <w:r>
        <w:rPr>
          <w:rFonts w:hint="eastAsia" w:ascii="宋体" w:hAnsi="宋体"/>
          <w:sz w:val="24"/>
          <w:szCs w:val="24"/>
        </w:rPr>
        <w:t>清运并依法</w:t>
      </w:r>
      <w:r>
        <w:rPr>
          <w:rFonts w:hint="eastAsia" w:ascii="宋体" w:hAnsi="宋体" w:cs="Arial"/>
          <w:bCs/>
          <w:sz w:val="24"/>
          <w:szCs w:val="24"/>
        </w:rPr>
        <w:t>集中</w:t>
      </w:r>
      <w:r>
        <w:rPr>
          <w:rFonts w:hint="eastAsia" w:ascii="宋体" w:hAnsi="宋体"/>
          <w:sz w:val="24"/>
          <w:szCs w:val="24"/>
        </w:rPr>
        <w:t>处置，</w:t>
      </w:r>
      <w:r>
        <w:rPr>
          <w:rFonts w:hint="eastAsia" w:ascii="宋体" w:hAnsi="宋体"/>
          <w:sz w:val="24"/>
          <w:szCs w:val="24"/>
          <w:lang w:val="en-US" w:eastAsia="zh-CN"/>
        </w:rPr>
        <w:t>接受</w:t>
      </w:r>
      <w:r>
        <w:rPr>
          <w:rFonts w:hint="eastAsia" w:ascii="宋体" w:hAnsi="宋体"/>
          <w:sz w:val="24"/>
          <w:szCs w:val="24"/>
        </w:rPr>
        <w:t>上级有关行政部门的检查，满足</w:t>
      </w:r>
      <w:r>
        <w:rPr>
          <w:rFonts w:hint="eastAsia" w:ascii="宋体" w:hAnsi="宋体"/>
          <w:sz w:val="24"/>
          <w:szCs w:val="24"/>
          <w:lang w:val="en-US" w:eastAsia="zh-CN"/>
        </w:rPr>
        <w:t>甲方</w:t>
      </w:r>
      <w:r>
        <w:rPr>
          <w:rFonts w:hint="eastAsia" w:ascii="宋体" w:hAnsi="宋体"/>
          <w:sz w:val="24"/>
          <w:szCs w:val="24"/>
        </w:rPr>
        <w:t>医疗、生产、工作</w:t>
      </w:r>
      <w:r>
        <w:rPr>
          <w:rFonts w:hint="eastAsia" w:ascii="宋体" w:hAnsi="宋体"/>
          <w:sz w:val="24"/>
          <w:szCs w:val="24"/>
          <w:lang w:val="en-US" w:eastAsia="zh-CN"/>
        </w:rPr>
        <w:t>等</w:t>
      </w:r>
      <w:r>
        <w:rPr>
          <w:rFonts w:hint="eastAsia" w:ascii="宋体" w:hAnsi="宋体"/>
          <w:sz w:val="24"/>
          <w:szCs w:val="24"/>
        </w:rPr>
        <w:t>的</w:t>
      </w:r>
      <w:r>
        <w:rPr>
          <w:rFonts w:hint="eastAsia" w:ascii="宋体" w:hAnsi="宋体"/>
          <w:sz w:val="24"/>
          <w:szCs w:val="24"/>
          <w:lang w:val="en-US" w:eastAsia="zh-CN"/>
        </w:rPr>
        <w:t>相关规定</w:t>
      </w:r>
      <w:r>
        <w:rPr>
          <w:rFonts w:hint="eastAsia" w:ascii="宋体" w:hAnsi="宋体"/>
          <w:sz w:val="24"/>
          <w:szCs w:val="24"/>
        </w:rPr>
        <w:t>要求。</w:t>
      </w:r>
    </w:p>
    <w:p w14:paraId="4B176361">
      <w:pPr>
        <w:pStyle w:val="18"/>
        <w:tabs>
          <w:tab w:val="left" w:pos="312"/>
        </w:tabs>
        <w:spacing w:line="360" w:lineRule="auto"/>
        <w:ind w:firstLine="0" w:firstLineChars="0"/>
        <w:contextualSpacing/>
        <w:rPr>
          <w:rFonts w:ascii="宋体" w:hAnsi="宋体" w:cs="Arial"/>
          <w:bCs/>
          <w:sz w:val="24"/>
          <w:szCs w:val="24"/>
        </w:rPr>
      </w:pPr>
      <w:r>
        <w:rPr>
          <w:rFonts w:hint="eastAsia" w:ascii="宋体" w:hAnsi="宋体" w:cs="Arial"/>
          <w:bCs/>
          <w:sz w:val="24"/>
          <w:szCs w:val="24"/>
        </w:rPr>
        <w:t>2、</w:t>
      </w:r>
      <w:r>
        <w:rPr>
          <w:rFonts w:ascii="宋体" w:hAnsi="宋体" w:cs="Arial"/>
          <w:bCs/>
          <w:sz w:val="24"/>
          <w:szCs w:val="24"/>
        </w:rPr>
        <w:t>服务内容及要求</w:t>
      </w:r>
    </w:p>
    <w:p w14:paraId="6F8B0EE2">
      <w:pPr>
        <w:pStyle w:val="18"/>
        <w:tabs>
          <w:tab w:val="left" w:pos="312"/>
        </w:tabs>
        <w:spacing w:line="360" w:lineRule="auto"/>
        <w:ind w:firstLine="560"/>
        <w:contextualSpacing/>
        <w:rPr>
          <w:rFonts w:ascii="宋体" w:hAnsi="宋体" w:cs="Arial"/>
          <w:bCs/>
          <w:sz w:val="24"/>
          <w:szCs w:val="24"/>
        </w:rPr>
      </w:pPr>
      <w:r>
        <w:rPr>
          <w:rFonts w:ascii="宋体" w:hAnsi="宋体" w:cs="Arial"/>
          <w:bCs/>
          <w:sz w:val="24"/>
          <w:szCs w:val="24"/>
        </w:rPr>
        <w:t>需执行的国家相关标准、行业标准、地方标准或者其他标准、规范</w:t>
      </w:r>
      <w:r>
        <w:rPr>
          <w:rFonts w:hint="eastAsia" w:ascii="宋体" w:hAnsi="宋体" w:cs="Arial"/>
          <w:bCs/>
          <w:sz w:val="24"/>
          <w:szCs w:val="24"/>
        </w:rPr>
        <w:t>。</w:t>
      </w:r>
      <w:r>
        <w:rPr>
          <w:rFonts w:ascii="宋体" w:hAnsi="宋体" w:cs="Arial"/>
          <w:bCs/>
          <w:sz w:val="24"/>
          <w:szCs w:val="24"/>
        </w:rPr>
        <w:t>符合已颁布的现行中华人民共和国认可的国家标准、地方标准和行业标准。如果这些标准内容有矛盾时，应按最高标准的条款执行。</w:t>
      </w:r>
    </w:p>
    <w:p w14:paraId="509D055E">
      <w:pPr>
        <w:spacing w:line="360" w:lineRule="auto"/>
        <w:ind w:firstLine="480" w:firstLineChars="200"/>
        <w:contextualSpacing/>
        <w:rPr>
          <w:rFonts w:ascii="宋体" w:hAnsi="宋体" w:cs="Arial"/>
          <w:bCs/>
          <w:sz w:val="24"/>
          <w:szCs w:val="24"/>
        </w:rPr>
      </w:pPr>
      <w:r>
        <w:rPr>
          <w:rFonts w:hint="eastAsia" w:ascii="宋体" w:hAnsi="宋体" w:cs="Arial"/>
          <w:bCs/>
          <w:sz w:val="24"/>
          <w:szCs w:val="24"/>
        </w:rPr>
        <w:t>保证委派到采购人人员进行了相关法律和专业技术、安全防护以及紧急处理等知识的培训，具备相应的履行本协议的合法有效资质和能力。</w:t>
      </w:r>
    </w:p>
    <w:p w14:paraId="61A741CE">
      <w:pPr>
        <w:spacing w:line="360" w:lineRule="auto"/>
        <w:ind w:firstLine="480" w:firstLineChars="200"/>
        <w:contextualSpacing/>
        <w:rPr>
          <w:rFonts w:ascii="宋体" w:hAnsi="宋体" w:cs="Arial"/>
          <w:bCs/>
          <w:sz w:val="24"/>
          <w:szCs w:val="24"/>
        </w:rPr>
      </w:pPr>
      <w:r>
        <w:rPr>
          <w:rFonts w:hint="eastAsia" w:ascii="宋体" w:hAnsi="宋体" w:cs="Arial"/>
          <w:bCs/>
          <w:sz w:val="24"/>
          <w:szCs w:val="24"/>
        </w:rPr>
        <w:t>根据采购人每天实际医废产生量清运，完成时限按照合同约定时间。如遇特殊情况需要增加清运的，应在接到甲方电话3小时内到达现场进行清运。</w:t>
      </w:r>
    </w:p>
    <w:p w14:paraId="30B6C5EC">
      <w:pPr>
        <w:spacing w:line="360" w:lineRule="auto"/>
        <w:ind w:firstLine="480" w:firstLineChars="200"/>
        <w:contextualSpacing/>
        <w:rPr>
          <w:rFonts w:ascii="宋体" w:hAnsi="宋体" w:cs="Arial"/>
          <w:bCs/>
          <w:sz w:val="24"/>
          <w:szCs w:val="24"/>
        </w:rPr>
      </w:pPr>
      <w:r>
        <w:rPr>
          <w:rFonts w:hint="eastAsia" w:ascii="宋体" w:hAnsi="宋体" w:cs="Arial"/>
          <w:bCs/>
          <w:sz w:val="24"/>
          <w:szCs w:val="24"/>
        </w:rPr>
        <w:t>投标人需在到达医院医疗废物暂存点后20分钟内全部装车并清运完毕，并依法集中处置，不得出现流失、泄漏、遗撒等情况。</w:t>
      </w:r>
    </w:p>
    <w:p w14:paraId="14B5979D">
      <w:pPr>
        <w:spacing w:line="360" w:lineRule="auto"/>
        <w:ind w:firstLine="480" w:firstLineChars="200"/>
        <w:contextualSpacing/>
        <w:rPr>
          <w:rFonts w:hint="eastAsia" w:ascii="宋体" w:hAnsi="宋体" w:eastAsia="宋体" w:cs="Arial"/>
          <w:bCs/>
          <w:sz w:val="24"/>
          <w:szCs w:val="24"/>
        </w:rPr>
      </w:pPr>
      <w:r>
        <w:rPr>
          <w:rFonts w:hint="eastAsia" w:ascii="宋体" w:hAnsi="宋体" w:cs="Arial"/>
          <w:bCs/>
          <w:sz w:val="24"/>
          <w:szCs w:val="24"/>
          <w:lang w:val="en-US" w:eastAsia="zh-CN"/>
        </w:rPr>
        <w:t>乙方</w:t>
      </w:r>
      <w:r>
        <w:rPr>
          <w:rFonts w:hint="eastAsia" w:ascii="宋体" w:hAnsi="宋体" w:eastAsia="宋体" w:cs="Arial"/>
          <w:bCs/>
          <w:sz w:val="24"/>
          <w:szCs w:val="24"/>
        </w:rPr>
        <w:t>负责免费为</w:t>
      </w:r>
      <w:r>
        <w:rPr>
          <w:rFonts w:hint="eastAsia" w:ascii="宋体" w:hAnsi="宋体" w:cs="Arial"/>
          <w:bCs/>
          <w:sz w:val="24"/>
          <w:szCs w:val="24"/>
          <w:lang w:val="en-US" w:eastAsia="zh-CN"/>
        </w:rPr>
        <w:t>甲方</w:t>
      </w:r>
      <w:r>
        <w:rPr>
          <w:rFonts w:hint="eastAsia" w:ascii="宋体" w:hAnsi="宋体" w:eastAsia="宋体" w:cs="Arial"/>
          <w:bCs/>
          <w:sz w:val="24"/>
          <w:szCs w:val="24"/>
        </w:rPr>
        <w:t>提供医疗废物清运不锈钢周转箱（周转箱，又称子车），并按实际清运量增加提供20%的备用周转箱供</w:t>
      </w:r>
      <w:r>
        <w:rPr>
          <w:rFonts w:hint="eastAsia" w:ascii="宋体" w:hAnsi="宋体" w:cs="Arial"/>
          <w:bCs/>
          <w:sz w:val="24"/>
          <w:szCs w:val="24"/>
          <w:lang w:val="en-US" w:eastAsia="zh-CN"/>
        </w:rPr>
        <w:t>甲方</w:t>
      </w:r>
      <w:r>
        <w:rPr>
          <w:rFonts w:hint="eastAsia" w:ascii="宋体" w:hAnsi="宋体" w:eastAsia="宋体" w:cs="Arial"/>
          <w:bCs/>
          <w:sz w:val="24"/>
          <w:szCs w:val="24"/>
        </w:rPr>
        <w:t>使用。</w:t>
      </w:r>
    </w:p>
    <w:p w14:paraId="2B5E0940">
      <w:pPr>
        <w:spacing w:line="360" w:lineRule="auto"/>
        <w:ind w:firstLine="480" w:firstLineChars="200"/>
        <w:contextualSpacing/>
        <w:rPr>
          <w:rFonts w:ascii="宋体" w:hAnsi="宋体" w:cs="Arial"/>
          <w:bCs/>
          <w:sz w:val="24"/>
          <w:szCs w:val="24"/>
        </w:rPr>
      </w:pPr>
      <w:r>
        <w:rPr>
          <w:rFonts w:hint="eastAsia" w:ascii="宋体" w:hAnsi="宋体" w:cs="Arial"/>
          <w:bCs/>
          <w:sz w:val="24"/>
          <w:szCs w:val="24"/>
        </w:rPr>
        <w:t>清运现场如医疗废物包装不符要求，出现暴露、泄露时，</w:t>
      </w:r>
      <w:r>
        <w:rPr>
          <w:rFonts w:hint="eastAsia" w:ascii="宋体" w:hAnsi="宋体" w:cs="Arial"/>
          <w:bCs/>
          <w:sz w:val="24"/>
          <w:szCs w:val="24"/>
          <w:lang w:val="en-US" w:eastAsia="zh-CN"/>
        </w:rPr>
        <w:t>乙方</w:t>
      </w:r>
      <w:r>
        <w:rPr>
          <w:rFonts w:hint="eastAsia" w:ascii="宋体" w:hAnsi="宋体" w:cs="Arial"/>
          <w:bCs/>
          <w:sz w:val="24"/>
          <w:szCs w:val="24"/>
        </w:rPr>
        <w:t>必须协助对医疗废物包装进行正确处理后才能装车。</w:t>
      </w:r>
    </w:p>
    <w:p w14:paraId="424E2CCA">
      <w:pPr>
        <w:spacing w:line="360" w:lineRule="auto"/>
        <w:ind w:firstLine="480" w:firstLineChars="200"/>
        <w:contextualSpacing/>
        <w:rPr>
          <w:rFonts w:ascii="宋体" w:hAnsi="宋体" w:cs="Arial"/>
          <w:bCs/>
          <w:sz w:val="24"/>
          <w:szCs w:val="24"/>
        </w:rPr>
      </w:pPr>
      <w:r>
        <w:rPr>
          <w:rFonts w:hint="eastAsia" w:ascii="宋体" w:hAnsi="宋体" w:cs="Arial"/>
          <w:bCs/>
          <w:sz w:val="24"/>
          <w:szCs w:val="24"/>
          <w:lang w:val="en-US" w:eastAsia="zh-CN"/>
        </w:rPr>
        <w:t>乙方</w:t>
      </w:r>
      <w:r>
        <w:rPr>
          <w:rFonts w:hint="eastAsia" w:ascii="宋体" w:hAnsi="宋体" w:cs="Arial"/>
          <w:bCs/>
          <w:sz w:val="24"/>
          <w:szCs w:val="24"/>
        </w:rPr>
        <w:t>提供的所有清运车辆都是依据《医疗废物转运车技术要求》进行定制的，每台清运车辆皆有合法有效的危险废物运输的合法许可证件。每车配备运输人员一名、押运人员一名。所有人员上岗前均通过了相关法律和专业技术、安全防护以及紧急处理等知识专业培训，取得岗位证书，保证持证上岗，能够熟练掌握医疗废物运输的操作规范和流程。司机持有合法有效的《道路危险废物运输驾驶员证件》，押运员持有合法有效的《道路危险废物运输押运人员证件》。</w:t>
      </w:r>
    </w:p>
    <w:p w14:paraId="07E91D8D">
      <w:pPr>
        <w:spacing w:line="360" w:lineRule="auto"/>
        <w:ind w:firstLine="480" w:firstLineChars="200"/>
        <w:contextualSpacing/>
        <w:rPr>
          <w:rFonts w:ascii="宋体" w:hAnsi="宋体" w:cs="Arial"/>
          <w:bCs/>
          <w:sz w:val="24"/>
          <w:szCs w:val="24"/>
        </w:rPr>
      </w:pPr>
      <w:r>
        <w:rPr>
          <w:rFonts w:hint="eastAsia" w:ascii="宋体" w:hAnsi="宋体" w:cs="Arial"/>
          <w:bCs/>
          <w:sz w:val="24"/>
          <w:szCs w:val="24"/>
          <w:lang w:val="en-US" w:eastAsia="zh-CN"/>
        </w:rPr>
        <w:t>乙方</w:t>
      </w:r>
      <w:r>
        <w:rPr>
          <w:rFonts w:hint="eastAsia" w:ascii="宋体" w:hAnsi="宋体" w:cs="Arial"/>
          <w:bCs/>
          <w:sz w:val="24"/>
          <w:szCs w:val="24"/>
        </w:rPr>
        <w:t>为其委派到</w:t>
      </w:r>
      <w:r>
        <w:rPr>
          <w:rFonts w:hint="eastAsia" w:ascii="宋体" w:hAnsi="宋体" w:cs="Arial"/>
          <w:bCs/>
          <w:sz w:val="24"/>
          <w:szCs w:val="24"/>
          <w:lang w:val="en-US" w:eastAsia="zh-CN"/>
        </w:rPr>
        <w:t>甲方</w:t>
      </w:r>
      <w:r>
        <w:rPr>
          <w:rFonts w:hint="eastAsia" w:ascii="宋体" w:hAnsi="宋体" w:cs="Arial"/>
          <w:bCs/>
          <w:sz w:val="24"/>
          <w:szCs w:val="24"/>
        </w:rPr>
        <w:t>的工作人员全部配置安全防护物品，统一标牌，衣着整洁，备用反光服饰。作业人员每日出车前应对医疗废物交接车、周转箱等周转容器进行一次全面的清洗和消毒，同时清点车上周转箱（子车）数量，确保周转箱（子车）数量充足，并检查周转箱的情况完好，确保周转箱的有效安全使用。</w:t>
      </w:r>
    </w:p>
    <w:p w14:paraId="00F8A9A2">
      <w:pPr>
        <w:spacing w:line="360" w:lineRule="auto"/>
        <w:ind w:firstLine="480" w:firstLineChars="200"/>
        <w:contextualSpacing/>
        <w:rPr>
          <w:rFonts w:ascii="宋体" w:hAnsi="宋体" w:cs="Arial"/>
          <w:bCs/>
          <w:sz w:val="24"/>
          <w:szCs w:val="24"/>
        </w:rPr>
      </w:pPr>
      <w:r>
        <w:rPr>
          <w:rFonts w:hint="eastAsia" w:ascii="宋体" w:hAnsi="宋体" w:cs="Arial"/>
          <w:bCs/>
          <w:sz w:val="24"/>
          <w:szCs w:val="24"/>
        </w:rPr>
        <w:t>在进行清运时不得妨碍甲方正常的医疗、工作秩序和通道的正常通行，不得破坏甲方的设施及设备。</w:t>
      </w:r>
    </w:p>
    <w:p w14:paraId="4E881D9C">
      <w:pPr>
        <w:spacing w:line="360" w:lineRule="auto"/>
        <w:ind w:firstLine="480" w:firstLineChars="200"/>
        <w:contextualSpacing/>
        <w:rPr>
          <w:rFonts w:ascii="宋体" w:hAnsi="宋体" w:cs="Arial"/>
          <w:bCs/>
          <w:sz w:val="24"/>
          <w:szCs w:val="24"/>
        </w:rPr>
      </w:pPr>
      <w:r>
        <w:rPr>
          <w:rFonts w:hint="eastAsia" w:ascii="宋体" w:hAnsi="宋体" w:cs="Arial"/>
          <w:bCs/>
          <w:sz w:val="24"/>
          <w:szCs w:val="24"/>
          <w:lang w:val="en-US" w:eastAsia="zh-CN"/>
        </w:rPr>
        <w:t>乙方</w:t>
      </w:r>
      <w:r>
        <w:rPr>
          <w:rFonts w:hint="eastAsia" w:ascii="宋体" w:hAnsi="宋体" w:cs="Arial"/>
          <w:bCs/>
          <w:sz w:val="24"/>
          <w:szCs w:val="24"/>
        </w:rPr>
        <w:t>配合</w:t>
      </w:r>
      <w:r>
        <w:rPr>
          <w:rFonts w:hint="eastAsia" w:ascii="宋体" w:hAnsi="宋体" w:cs="Arial"/>
          <w:bCs/>
          <w:sz w:val="24"/>
          <w:szCs w:val="24"/>
          <w:lang w:val="en-US" w:eastAsia="zh-CN"/>
        </w:rPr>
        <w:t>甲方</w:t>
      </w:r>
      <w:r>
        <w:rPr>
          <w:rFonts w:hint="eastAsia" w:ascii="宋体" w:hAnsi="宋体" w:cs="Arial"/>
          <w:bCs/>
          <w:sz w:val="24"/>
          <w:szCs w:val="24"/>
        </w:rPr>
        <w:t xml:space="preserve">填报《医疗废物处置月报表》、《医疗废物产生和处置的年报表》等，并报当地环保主管部门审核审批。 </w:t>
      </w:r>
    </w:p>
    <w:p w14:paraId="72A87B63">
      <w:pPr>
        <w:spacing w:line="360" w:lineRule="auto"/>
        <w:ind w:firstLine="480" w:firstLineChars="200"/>
        <w:contextualSpacing/>
        <w:rPr>
          <w:rFonts w:ascii="宋体" w:hAnsi="宋体" w:cs="Arial"/>
          <w:bCs/>
          <w:sz w:val="24"/>
          <w:szCs w:val="24"/>
        </w:rPr>
      </w:pPr>
      <w:r>
        <w:rPr>
          <w:rFonts w:hint="eastAsia" w:ascii="宋体" w:hAnsi="宋体" w:cs="Arial"/>
          <w:bCs/>
          <w:sz w:val="24"/>
          <w:szCs w:val="24"/>
          <w:lang w:val="en-US" w:eastAsia="zh-CN"/>
        </w:rPr>
        <w:t>甲方</w:t>
      </w:r>
      <w:r>
        <w:rPr>
          <w:rFonts w:hint="eastAsia" w:ascii="宋体" w:hAnsi="宋体" w:cs="Arial"/>
          <w:bCs/>
          <w:sz w:val="24"/>
          <w:szCs w:val="24"/>
        </w:rPr>
        <w:t>有权对</w:t>
      </w:r>
      <w:r>
        <w:rPr>
          <w:rFonts w:hint="eastAsia" w:ascii="宋体" w:hAnsi="宋体" w:cs="Arial"/>
          <w:bCs/>
          <w:sz w:val="24"/>
          <w:szCs w:val="24"/>
          <w:lang w:val="en-US" w:eastAsia="zh-CN"/>
        </w:rPr>
        <w:t>乙方</w:t>
      </w:r>
      <w:r>
        <w:rPr>
          <w:rFonts w:hint="eastAsia" w:ascii="宋体" w:hAnsi="宋体" w:cs="Arial"/>
          <w:bCs/>
          <w:sz w:val="24"/>
          <w:szCs w:val="24"/>
        </w:rPr>
        <w:t>工作进行监督管理，并提出建议，同时有权要求</w:t>
      </w:r>
      <w:r>
        <w:rPr>
          <w:rFonts w:hint="eastAsia" w:ascii="宋体" w:hAnsi="宋体" w:cs="Arial"/>
          <w:bCs/>
          <w:sz w:val="24"/>
          <w:szCs w:val="24"/>
          <w:lang w:val="en-US" w:eastAsia="zh-CN"/>
        </w:rPr>
        <w:t>乙方</w:t>
      </w:r>
      <w:r>
        <w:rPr>
          <w:rFonts w:hint="eastAsia" w:ascii="宋体" w:hAnsi="宋体" w:cs="Arial"/>
          <w:bCs/>
          <w:sz w:val="24"/>
          <w:szCs w:val="24"/>
        </w:rPr>
        <w:t>撤换其委派到</w:t>
      </w:r>
      <w:r>
        <w:rPr>
          <w:rFonts w:hint="eastAsia" w:ascii="宋体" w:hAnsi="宋体" w:cs="Arial"/>
          <w:bCs/>
          <w:sz w:val="24"/>
          <w:szCs w:val="24"/>
          <w:lang w:val="en-US" w:eastAsia="zh-CN"/>
        </w:rPr>
        <w:t>甲方</w:t>
      </w:r>
      <w:r>
        <w:rPr>
          <w:rFonts w:hint="eastAsia" w:ascii="宋体" w:hAnsi="宋体" w:cs="Arial"/>
          <w:bCs/>
          <w:sz w:val="24"/>
          <w:szCs w:val="24"/>
        </w:rPr>
        <w:t>的工作人员，</w:t>
      </w:r>
      <w:r>
        <w:rPr>
          <w:rFonts w:hint="eastAsia" w:ascii="宋体" w:hAnsi="宋体" w:cs="Arial"/>
          <w:bCs/>
          <w:sz w:val="24"/>
          <w:szCs w:val="24"/>
          <w:lang w:val="en-US" w:eastAsia="zh-CN"/>
        </w:rPr>
        <w:t>乙方</w:t>
      </w:r>
      <w:r>
        <w:rPr>
          <w:rFonts w:hint="eastAsia" w:ascii="宋体" w:hAnsi="宋体" w:cs="Arial"/>
          <w:bCs/>
          <w:sz w:val="24"/>
          <w:szCs w:val="24"/>
        </w:rPr>
        <w:t>应严格遵守</w:t>
      </w:r>
      <w:r>
        <w:rPr>
          <w:rFonts w:hint="eastAsia" w:ascii="宋体" w:hAnsi="宋体" w:cs="Arial"/>
          <w:bCs/>
          <w:sz w:val="24"/>
          <w:szCs w:val="24"/>
          <w:lang w:val="en-US" w:eastAsia="zh-CN"/>
        </w:rPr>
        <w:t>甲方</w:t>
      </w:r>
      <w:r>
        <w:rPr>
          <w:rFonts w:hint="eastAsia" w:ascii="宋体" w:hAnsi="宋体" w:cs="Arial"/>
          <w:bCs/>
          <w:sz w:val="24"/>
          <w:szCs w:val="24"/>
        </w:rPr>
        <w:t>对医疗废物</w:t>
      </w:r>
      <w:r>
        <w:rPr>
          <w:rFonts w:hint="eastAsia" w:ascii="宋体" w:hAnsi="宋体" w:cs="Arial"/>
          <w:bCs/>
          <w:sz w:val="24"/>
          <w:szCs w:val="24"/>
          <w:lang w:val="en-US" w:eastAsia="zh-CN"/>
        </w:rPr>
        <w:t>清运处置</w:t>
      </w:r>
      <w:r>
        <w:rPr>
          <w:rFonts w:hint="eastAsia" w:ascii="宋体" w:hAnsi="宋体" w:cs="Arial"/>
          <w:bCs/>
          <w:sz w:val="24"/>
          <w:szCs w:val="24"/>
        </w:rPr>
        <w:t>的相关规定，服从</w:t>
      </w:r>
      <w:r>
        <w:rPr>
          <w:rFonts w:hint="eastAsia" w:ascii="宋体" w:hAnsi="宋体" w:cs="Arial"/>
          <w:bCs/>
          <w:sz w:val="24"/>
          <w:szCs w:val="24"/>
          <w:lang w:val="en-US" w:eastAsia="zh-CN"/>
        </w:rPr>
        <w:t>甲方</w:t>
      </w:r>
      <w:r>
        <w:rPr>
          <w:rFonts w:hint="eastAsia" w:ascii="宋体" w:hAnsi="宋体" w:cs="Arial"/>
          <w:bCs/>
          <w:sz w:val="24"/>
          <w:szCs w:val="24"/>
        </w:rPr>
        <w:t>的监督和管理，遵守相关规定，并满足相关要求。</w:t>
      </w:r>
    </w:p>
    <w:p w14:paraId="349EB268">
      <w:pPr>
        <w:pStyle w:val="17"/>
        <w:adjustRightInd w:val="0"/>
        <w:snapToGrid w:val="0"/>
        <w:spacing w:line="360" w:lineRule="auto"/>
        <w:ind w:firstLine="0" w:firstLineChars="0"/>
        <w:jc w:val="both"/>
        <w:rPr>
          <w:rFonts w:hint="eastAsia" w:ascii="宋体" w:hAnsi="宋体" w:cs="宋体"/>
          <w:b/>
          <w:bCs/>
          <w:sz w:val="24"/>
          <w:szCs w:val="24"/>
          <w:lang w:val="zh-CN"/>
        </w:rPr>
      </w:pPr>
      <w:r>
        <w:rPr>
          <w:rFonts w:hint="eastAsia" w:ascii="宋体" w:hAnsi="宋体" w:cs="宋体"/>
          <w:b/>
          <w:bCs/>
          <w:sz w:val="24"/>
          <w:szCs w:val="24"/>
        </w:rPr>
        <w:t>3、</w:t>
      </w:r>
      <w:r>
        <w:rPr>
          <w:rFonts w:hint="eastAsia" w:ascii="宋体" w:hAnsi="宋体" w:cs="宋体"/>
          <w:b/>
          <w:bCs/>
          <w:sz w:val="24"/>
          <w:szCs w:val="24"/>
          <w:lang w:val="zh-CN"/>
        </w:rPr>
        <w:t>人员要求：</w:t>
      </w:r>
    </w:p>
    <w:p w14:paraId="5B060D18">
      <w:pPr>
        <w:spacing w:line="360" w:lineRule="auto"/>
        <w:ind w:firstLine="480" w:firstLineChars="200"/>
        <w:contextualSpacing/>
      </w:pPr>
      <w:r>
        <w:rPr>
          <w:rFonts w:hint="eastAsia" w:ascii="宋体" w:hAnsi="宋体" w:cs="Arial"/>
          <w:bCs/>
          <w:sz w:val="24"/>
          <w:szCs w:val="24"/>
          <w:lang w:val="en-US" w:eastAsia="zh-CN"/>
        </w:rPr>
        <w:t>乙方</w:t>
      </w:r>
      <w:r>
        <w:rPr>
          <w:rFonts w:hint="eastAsia" w:ascii="宋体" w:hAnsi="宋体" w:cs="Arial"/>
          <w:bCs/>
          <w:sz w:val="24"/>
          <w:szCs w:val="24"/>
        </w:rPr>
        <w:t>司机持有合法有效的《道路危险废物运输驾驶员证件》，押运员持有合法有效的《道路危险废物运输押运人员证件》。</w:t>
      </w:r>
    </w:p>
    <w:p w14:paraId="2601F18F"/>
    <w:p w14:paraId="6E2485A6"/>
    <w:p w14:paraId="790EEA69"/>
    <w:p w14:paraId="57809B4B"/>
    <w:p w14:paraId="74F79052"/>
    <w:p w14:paraId="07492EA0"/>
    <w:p w14:paraId="1B02F94A">
      <w:pPr>
        <w:pStyle w:val="3"/>
        <w:keepNext w:val="0"/>
        <w:keepLines w:val="0"/>
        <w:tabs>
          <w:tab w:val="left" w:pos="1701"/>
        </w:tabs>
        <w:spacing w:before="0" w:after="0" w:line="240" w:lineRule="auto"/>
        <w:jc w:val="center"/>
        <w:rPr>
          <w:rFonts w:hAnsi="宋体"/>
          <w:bCs w:val="0"/>
          <w:color w:val="auto"/>
          <w:sz w:val="36"/>
          <w:szCs w:val="36"/>
        </w:rPr>
      </w:pPr>
    </w:p>
    <w:p w14:paraId="33385E77">
      <w:pPr>
        <w:pStyle w:val="3"/>
        <w:keepNext w:val="0"/>
        <w:keepLines w:val="0"/>
        <w:tabs>
          <w:tab w:val="left" w:pos="1701"/>
        </w:tabs>
        <w:spacing w:before="0" w:after="0" w:line="240" w:lineRule="auto"/>
        <w:jc w:val="center"/>
        <w:rPr>
          <w:rFonts w:hAnsi="宋体"/>
          <w:bCs w:val="0"/>
          <w:color w:val="auto"/>
          <w:sz w:val="36"/>
          <w:szCs w:val="36"/>
        </w:rPr>
      </w:pPr>
    </w:p>
    <w:p w14:paraId="34A04C3B">
      <w:pPr>
        <w:pStyle w:val="3"/>
        <w:keepNext w:val="0"/>
        <w:keepLines w:val="0"/>
        <w:tabs>
          <w:tab w:val="left" w:pos="1701"/>
        </w:tabs>
        <w:spacing w:before="0" w:after="0" w:line="240" w:lineRule="auto"/>
        <w:jc w:val="center"/>
        <w:rPr>
          <w:rFonts w:hAnsi="宋体"/>
          <w:bCs w:val="0"/>
          <w:color w:val="auto"/>
          <w:sz w:val="36"/>
          <w:szCs w:val="36"/>
        </w:rPr>
      </w:pPr>
    </w:p>
    <w:p w14:paraId="117881EE">
      <w:pPr>
        <w:pStyle w:val="3"/>
        <w:keepNext w:val="0"/>
        <w:keepLines w:val="0"/>
        <w:tabs>
          <w:tab w:val="left" w:pos="1701"/>
        </w:tabs>
        <w:spacing w:before="0" w:after="0" w:line="240" w:lineRule="auto"/>
        <w:jc w:val="center"/>
        <w:rPr>
          <w:rFonts w:hAnsi="宋体"/>
          <w:bCs w:val="0"/>
          <w:color w:val="auto"/>
          <w:sz w:val="36"/>
          <w:szCs w:val="36"/>
        </w:rPr>
      </w:pPr>
    </w:p>
    <w:p w14:paraId="27F5D12E">
      <w:pPr>
        <w:pStyle w:val="3"/>
        <w:keepNext w:val="0"/>
        <w:keepLines w:val="0"/>
        <w:tabs>
          <w:tab w:val="left" w:pos="1701"/>
        </w:tabs>
        <w:spacing w:before="0" w:after="0" w:line="240" w:lineRule="auto"/>
        <w:jc w:val="center"/>
        <w:rPr>
          <w:rFonts w:hAnsi="宋体"/>
          <w:bCs w:val="0"/>
          <w:color w:val="auto"/>
          <w:sz w:val="36"/>
          <w:szCs w:val="36"/>
        </w:rPr>
      </w:pPr>
    </w:p>
    <w:p w14:paraId="7562B755">
      <w:pPr>
        <w:pStyle w:val="3"/>
        <w:keepNext w:val="0"/>
        <w:keepLines w:val="0"/>
        <w:tabs>
          <w:tab w:val="left" w:pos="1701"/>
        </w:tabs>
        <w:spacing w:before="0" w:after="0" w:line="240" w:lineRule="auto"/>
        <w:jc w:val="center"/>
        <w:rPr>
          <w:rFonts w:hAnsi="宋体"/>
          <w:bCs w:val="0"/>
          <w:color w:val="auto"/>
          <w:sz w:val="36"/>
          <w:szCs w:val="36"/>
        </w:rPr>
      </w:pPr>
    </w:p>
    <w:p w14:paraId="75950A14">
      <w:pPr>
        <w:pStyle w:val="3"/>
        <w:keepNext w:val="0"/>
        <w:keepLines w:val="0"/>
        <w:tabs>
          <w:tab w:val="left" w:pos="1701"/>
        </w:tabs>
        <w:spacing w:before="0" w:after="0" w:line="240" w:lineRule="auto"/>
        <w:jc w:val="center"/>
        <w:rPr>
          <w:rFonts w:hAnsi="宋体"/>
          <w:bCs w:val="0"/>
          <w:color w:val="auto"/>
          <w:sz w:val="36"/>
          <w:szCs w:val="36"/>
        </w:rPr>
      </w:pPr>
      <w:r>
        <w:rPr>
          <w:rFonts w:hAnsi="宋体"/>
          <w:bCs w:val="0"/>
          <w:color w:val="auto"/>
          <w:sz w:val="36"/>
          <w:szCs w:val="36"/>
        </w:rPr>
        <w:t>第</w:t>
      </w:r>
      <w:r>
        <w:rPr>
          <w:rFonts w:hint="eastAsia" w:hAnsi="宋体"/>
          <w:bCs w:val="0"/>
          <w:color w:val="auto"/>
          <w:sz w:val="36"/>
          <w:szCs w:val="36"/>
        </w:rPr>
        <w:t>四章</w:t>
      </w:r>
      <w:r>
        <w:rPr>
          <w:rFonts w:hint="eastAsia" w:hAnsi="宋体"/>
          <w:bCs w:val="0"/>
          <w:color w:val="auto"/>
          <w:sz w:val="36"/>
          <w:szCs w:val="36"/>
        </w:rPr>
        <w:tab/>
      </w:r>
      <w:bookmarkEnd w:id="138"/>
      <w:bookmarkEnd w:id="139"/>
      <w:r>
        <w:rPr>
          <w:rFonts w:hint="eastAsia" w:hAnsi="宋体"/>
          <w:bCs w:val="0"/>
          <w:color w:val="auto"/>
          <w:sz w:val="36"/>
          <w:szCs w:val="36"/>
        </w:rPr>
        <w:t>合同条件</w:t>
      </w:r>
      <w:bookmarkEnd w:id="140"/>
    </w:p>
    <w:p w14:paraId="26D3595D"/>
    <w:p w14:paraId="2D6CB949">
      <w:pPr>
        <w:widowControl/>
        <w:shd w:val="clear" w:color="auto" w:fill="FFFFFF"/>
        <w:spacing w:line="440" w:lineRule="atLeast"/>
        <w:jc w:val="center"/>
        <w:rPr>
          <w:rFonts w:hint="eastAsia" w:ascii="宋体" w:hAnsi="宋体" w:cs="宋体"/>
          <w:b/>
          <w:bCs/>
          <w:kern w:val="0"/>
          <w:sz w:val="32"/>
          <w:szCs w:val="32"/>
        </w:rPr>
      </w:pPr>
      <w:r>
        <w:rPr>
          <w:rFonts w:hint="eastAsia" w:ascii="宋体" w:hAnsi="宋体" w:eastAsia="宋体" w:cs="宋体"/>
          <w:b/>
          <w:bCs/>
          <w:kern w:val="0"/>
          <w:sz w:val="32"/>
          <w:szCs w:val="32"/>
        </w:rPr>
        <w:t>医疗废物清运处置</w:t>
      </w:r>
      <w:r>
        <w:rPr>
          <w:rFonts w:hint="eastAsia" w:ascii="宋体" w:hAnsi="宋体" w:eastAsia="宋体" w:cs="宋体"/>
          <w:b/>
          <w:bCs/>
          <w:kern w:val="0"/>
          <w:sz w:val="32"/>
          <w:szCs w:val="32"/>
          <w:lang w:val="en-US" w:eastAsia="zh-CN"/>
        </w:rPr>
        <w:t>服务</w:t>
      </w:r>
      <w:r>
        <w:rPr>
          <w:rFonts w:hint="eastAsia" w:ascii="宋体" w:hAnsi="宋体" w:cs="宋体"/>
          <w:b/>
          <w:bCs/>
          <w:kern w:val="0"/>
          <w:sz w:val="32"/>
          <w:szCs w:val="32"/>
        </w:rPr>
        <w:t>合作协议书</w:t>
      </w:r>
    </w:p>
    <w:p w14:paraId="3C028DFA">
      <w:pPr>
        <w:spacing w:line="360" w:lineRule="auto"/>
        <w:jc w:val="center"/>
        <w:rPr>
          <w:rFonts w:hint="eastAsia" w:ascii="宋体" w:hAnsi="宋体"/>
          <w:b/>
          <w:bCs/>
        </w:rPr>
      </w:pPr>
      <w:r>
        <w:rPr>
          <w:rFonts w:hint="eastAsia"/>
          <w:color w:val="000000"/>
          <w:sz w:val="24"/>
          <w:szCs w:val="24"/>
        </w:rPr>
        <w:t>（仅供参考，以最终签订的合同为准）</w:t>
      </w:r>
      <w:r>
        <w:rPr>
          <w:rFonts w:hint="eastAsia" w:ascii="宋体" w:hAnsi="宋体"/>
          <w:b/>
          <w:bCs/>
          <w:sz w:val="44"/>
        </w:rPr>
        <w:t xml:space="preserve">                        </w:t>
      </w:r>
    </w:p>
    <w:p w14:paraId="2DA949E7">
      <w:pPr>
        <w:widowControl/>
        <w:shd w:val="clear" w:color="auto" w:fill="FFFFFF"/>
        <w:spacing w:line="440" w:lineRule="atLeast"/>
        <w:jc w:val="center"/>
        <w:rPr>
          <w:rFonts w:hint="eastAsia" w:ascii="宋体" w:hAnsi="宋体" w:cs="宋体"/>
          <w:b/>
          <w:bCs/>
          <w:kern w:val="0"/>
          <w:sz w:val="44"/>
          <w:szCs w:val="44"/>
        </w:rPr>
      </w:pPr>
    </w:p>
    <w:p w14:paraId="652A06CF">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甲方：</w:t>
      </w:r>
    </w:p>
    <w:p w14:paraId="5656B3F7">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地址：</w:t>
      </w:r>
    </w:p>
    <w:p w14:paraId="41459951">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统一社会信用代码</w:t>
      </w:r>
      <w:r>
        <w:rPr>
          <w:rFonts w:ascii="宋体" w:hAnsi="宋体" w:cs="宋体"/>
          <w:b/>
          <w:bCs/>
          <w:kern w:val="0"/>
        </w:rPr>
        <w:t>:</w:t>
      </w:r>
    </w:p>
    <w:p w14:paraId="6A870936">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法定代表人：</w:t>
      </w:r>
      <w:r>
        <w:rPr>
          <w:rFonts w:ascii="宋体" w:hAnsi="宋体" w:cs="宋体"/>
          <w:b/>
          <w:bCs/>
          <w:kern w:val="0"/>
        </w:rPr>
        <w:t xml:space="preserve">      </w:t>
      </w:r>
      <w:r>
        <w:rPr>
          <w:rFonts w:hint="eastAsia" w:ascii="宋体" w:hAnsi="宋体" w:cs="宋体"/>
          <w:b/>
          <w:bCs/>
          <w:kern w:val="0"/>
        </w:rPr>
        <w:t>职务：</w:t>
      </w:r>
    </w:p>
    <w:p w14:paraId="06C2FB37">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邮编：</w:t>
      </w:r>
    </w:p>
    <w:p w14:paraId="71D2E7B6">
      <w:pPr>
        <w:widowControl/>
        <w:shd w:val="clear" w:color="auto" w:fill="FFFFFF"/>
        <w:snapToGrid w:val="0"/>
        <w:spacing w:line="360" w:lineRule="auto"/>
        <w:ind w:left="-720" w:firstLine="840"/>
        <w:rPr>
          <w:rFonts w:hint="eastAsia" w:ascii="宋体" w:hAnsi="宋体" w:cs="宋体"/>
          <w:b/>
          <w:bCs/>
          <w:kern w:val="0"/>
        </w:rPr>
      </w:pPr>
      <w:r>
        <w:rPr>
          <w:rFonts w:ascii="宋体" w:hAnsi="宋体" w:cs="宋体"/>
          <w:b/>
          <w:bCs/>
          <w:kern w:val="0"/>
        </w:rPr>
        <w:t>联系人：</w:t>
      </w:r>
    </w:p>
    <w:p w14:paraId="600CA138">
      <w:pPr>
        <w:widowControl/>
        <w:shd w:val="clear" w:color="auto" w:fill="FFFFFF"/>
        <w:snapToGrid w:val="0"/>
        <w:spacing w:line="360" w:lineRule="auto"/>
        <w:ind w:left="-720" w:firstLine="840"/>
        <w:rPr>
          <w:rFonts w:hint="eastAsia" w:ascii="宋体" w:hAnsi="宋体" w:cs="宋体"/>
          <w:b/>
          <w:bCs/>
          <w:kern w:val="0"/>
        </w:rPr>
      </w:pPr>
      <w:r>
        <w:rPr>
          <w:rFonts w:ascii="宋体" w:hAnsi="宋体" w:cs="宋体"/>
          <w:b/>
          <w:bCs/>
          <w:kern w:val="0"/>
        </w:rPr>
        <w:t>联系</w:t>
      </w:r>
      <w:r>
        <w:rPr>
          <w:rFonts w:hint="eastAsia" w:ascii="宋体" w:hAnsi="宋体" w:cs="宋体"/>
          <w:b/>
          <w:bCs/>
          <w:kern w:val="0"/>
        </w:rPr>
        <w:t>电话：</w:t>
      </w:r>
    </w:p>
    <w:p w14:paraId="3E020F67">
      <w:pPr>
        <w:widowControl/>
        <w:shd w:val="clear" w:color="auto" w:fill="FFFFFF"/>
        <w:snapToGrid w:val="0"/>
        <w:spacing w:line="360" w:lineRule="auto"/>
        <w:ind w:left="-720" w:firstLine="840"/>
        <w:rPr>
          <w:rFonts w:hint="eastAsia" w:ascii="宋体" w:hAnsi="宋体" w:cs="宋体"/>
          <w:b/>
          <w:bCs/>
          <w:kern w:val="0"/>
        </w:rPr>
      </w:pPr>
      <w:r>
        <w:rPr>
          <w:rFonts w:ascii="宋体" w:hAnsi="宋体" w:cs="宋体"/>
          <w:b/>
          <w:bCs/>
          <w:kern w:val="0"/>
        </w:rPr>
        <w:t>通讯地址：</w:t>
      </w:r>
      <w:r>
        <w:rPr>
          <w:rFonts w:hint="eastAsia" w:ascii="宋体" w:hAnsi="宋体" w:cs="宋体"/>
          <w:b/>
          <w:bCs/>
          <w:kern w:val="0"/>
        </w:rPr>
        <w:t> </w:t>
      </w:r>
    </w:p>
    <w:p w14:paraId="33CCED23">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传真：</w:t>
      </w:r>
    </w:p>
    <w:p w14:paraId="6A544515">
      <w:pPr>
        <w:widowControl/>
        <w:shd w:val="clear" w:color="auto" w:fill="FFFFFF"/>
        <w:snapToGrid w:val="0"/>
        <w:spacing w:line="360" w:lineRule="auto"/>
        <w:ind w:left="-720" w:firstLine="840"/>
        <w:rPr>
          <w:rFonts w:hint="eastAsia" w:ascii="宋体" w:hAnsi="宋体" w:cs="宋体"/>
          <w:b/>
          <w:bCs/>
          <w:kern w:val="0"/>
        </w:rPr>
      </w:pPr>
    </w:p>
    <w:p w14:paraId="4C1D6F4C">
      <w:pPr>
        <w:widowControl/>
        <w:shd w:val="clear" w:color="auto" w:fill="FFFFFF"/>
        <w:snapToGrid w:val="0"/>
        <w:spacing w:line="360" w:lineRule="auto"/>
        <w:ind w:left="-720" w:firstLine="840"/>
        <w:rPr>
          <w:rFonts w:hint="eastAsia" w:ascii="宋体" w:hAnsi="宋体" w:cs="宋体"/>
          <w:b/>
          <w:bCs/>
          <w:kern w:val="0"/>
          <w:u w:val="single"/>
        </w:rPr>
      </w:pPr>
      <w:r>
        <w:rPr>
          <w:rFonts w:hint="eastAsia" w:ascii="宋体" w:hAnsi="宋体" w:cs="宋体"/>
          <w:b/>
          <w:bCs/>
          <w:kern w:val="0"/>
        </w:rPr>
        <w:t>乙方：</w:t>
      </w:r>
    </w:p>
    <w:p w14:paraId="6175A347">
      <w:pPr>
        <w:widowControl/>
        <w:shd w:val="clear" w:color="auto" w:fill="FFFFFF"/>
        <w:snapToGrid w:val="0"/>
        <w:spacing w:line="360" w:lineRule="auto"/>
        <w:ind w:left="-720" w:firstLine="840"/>
        <w:rPr>
          <w:rFonts w:hint="eastAsia" w:ascii="宋体" w:hAnsi="宋体" w:cs="宋体"/>
          <w:b/>
          <w:bCs/>
          <w:kern w:val="0"/>
          <w:u w:val="single"/>
        </w:rPr>
      </w:pPr>
      <w:r>
        <w:rPr>
          <w:rFonts w:hint="eastAsia" w:ascii="宋体" w:hAnsi="宋体" w:cs="宋体"/>
          <w:b/>
          <w:bCs/>
          <w:kern w:val="0"/>
          <w:u w:val="single"/>
        </w:rPr>
        <w:t>统一社会信用代码</w:t>
      </w:r>
      <w:r>
        <w:rPr>
          <w:rFonts w:ascii="宋体" w:hAnsi="宋体" w:cs="宋体"/>
          <w:b/>
          <w:bCs/>
          <w:kern w:val="0"/>
          <w:u w:val="single"/>
        </w:rPr>
        <w:t>:</w:t>
      </w:r>
    </w:p>
    <w:p w14:paraId="64109DD3">
      <w:pPr>
        <w:widowControl/>
        <w:shd w:val="clear" w:color="auto" w:fill="FFFFFF"/>
        <w:snapToGrid w:val="0"/>
        <w:spacing w:line="360" w:lineRule="auto"/>
        <w:ind w:left="79" w:leftChars="33"/>
        <w:rPr>
          <w:rFonts w:hint="eastAsia" w:ascii="宋体" w:hAnsi="宋体" w:cs="宋体"/>
          <w:b/>
          <w:bCs/>
          <w:kern w:val="0"/>
        </w:rPr>
      </w:pPr>
      <w:r>
        <w:rPr>
          <w:rFonts w:hint="eastAsia" w:ascii="宋体" w:hAnsi="宋体" w:cs="宋体"/>
          <w:b/>
          <w:bCs/>
          <w:kern w:val="0"/>
        </w:rPr>
        <w:t>地址：</w:t>
      </w:r>
    </w:p>
    <w:p w14:paraId="75C48053">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法定代表人：</w:t>
      </w:r>
      <w:r>
        <w:rPr>
          <w:rFonts w:ascii="宋体" w:hAnsi="宋体" w:cs="宋体"/>
          <w:b/>
          <w:bCs/>
          <w:kern w:val="0"/>
        </w:rPr>
        <w:t xml:space="preserve">  </w:t>
      </w:r>
      <w:r>
        <w:rPr>
          <w:rFonts w:hint="eastAsia" w:ascii="宋体" w:hAnsi="宋体" w:cs="宋体"/>
          <w:b/>
          <w:bCs/>
          <w:kern w:val="0"/>
        </w:rPr>
        <w:t xml:space="preserve">   职务：</w:t>
      </w:r>
    </w:p>
    <w:p w14:paraId="0C891B2B">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邮编：</w:t>
      </w:r>
    </w:p>
    <w:p w14:paraId="4F401CCE">
      <w:pPr>
        <w:widowControl/>
        <w:shd w:val="clear" w:color="auto" w:fill="FFFFFF"/>
        <w:snapToGrid w:val="0"/>
        <w:spacing w:line="360" w:lineRule="auto"/>
        <w:ind w:left="-720" w:firstLine="840"/>
        <w:rPr>
          <w:rFonts w:hint="eastAsia" w:ascii="宋体" w:hAnsi="宋体" w:cs="宋体"/>
          <w:b/>
          <w:bCs/>
          <w:kern w:val="0"/>
        </w:rPr>
      </w:pPr>
      <w:r>
        <w:rPr>
          <w:rFonts w:ascii="宋体" w:hAnsi="宋体" w:cs="宋体"/>
          <w:b/>
          <w:bCs/>
          <w:kern w:val="0"/>
        </w:rPr>
        <w:t>联系人：</w:t>
      </w:r>
    </w:p>
    <w:p w14:paraId="633A0F01">
      <w:pPr>
        <w:widowControl/>
        <w:shd w:val="clear" w:color="auto" w:fill="FFFFFF"/>
        <w:snapToGrid w:val="0"/>
        <w:spacing w:line="360" w:lineRule="auto"/>
        <w:ind w:left="-720" w:firstLine="840"/>
        <w:rPr>
          <w:rFonts w:hint="eastAsia" w:ascii="宋体" w:hAnsi="宋体" w:cs="宋体"/>
          <w:b/>
          <w:bCs/>
          <w:kern w:val="0"/>
        </w:rPr>
      </w:pPr>
      <w:r>
        <w:rPr>
          <w:rFonts w:ascii="宋体" w:hAnsi="宋体" w:cs="宋体"/>
          <w:b/>
          <w:bCs/>
          <w:kern w:val="0"/>
        </w:rPr>
        <w:t>联系电话：</w:t>
      </w:r>
    </w:p>
    <w:p w14:paraId="76145439">
      <w:pPr>
        <w:widowControl/>
        <w:shd w:val="clear" w:color="auto" w:fill="FFFFFF"/>
        <w:snapToGrid w:val="0"/>
        <w:spacing w:line="360" w:lineRule="auto"/>
        <w:ind w:left="-720" w:firstLine="840"/>
        <w:rPr>
          <w:rFonts w:hint="eastAsia" w:ascii="宋体" w:hAnsi="宋体" w:cs="宋体"/>
          <w:b/>
          <w:bCs/>
          <w:kern w:val="0"/>
        </w:rPr>
      </w:pPr>
      <w:r>
        <w:rPr>
          <w:rFonts w:ascii="宋体" w:hAnsi="宋体" w:cs="宋体"/>
          <w:b/>
          <w:bCs/>
          <w:kern w:val="0"/>
        </w:rPr>
        <w:t>通讯地址：</w:t>
      </w:r>
      <w:r>
        <w:rPr>
          <w:rFonts w:hint="eastAsia" w:ascii="宋体" w:hAnsi="宋体" w:cs="宋体"/>
          <w:b/>
          <w:bCs/>
          <w:kern w:val="0"/>
        </w:rPr>
        <w:t> </w:t>
      </w:r>
    </w:p>
    <w:p w14:paraId="70A8D45E">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传真：</w:t>
      </w:r>
    </w:p>
    <w:p w14:paraId="2E7CD5BE">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授权代表：</w:t>
      </w:r>
      <w:r>
        <w:rPr>
          <w:rFonts w:ascii="宋体" w:hAnsi="宋体" w:cs="宋体"/>
          <w:b/>
          <w:bCs/>
          <w:kern w:val="0"/>
        </w:rPr>
        <w:t xml:space="preserve">         </w:t>
      </w:r>
      <w:r>
        <w:rPr>
          <w:rFonts w:hint="eastAsia" w:ascii="宋体" w:hAnsi="宋体" w:cs="宋体"/>
          <w:b/>
          <w:bCs/>
          <w:kern w:val="0"/>
        </w:rPr>
        <w:t>职务：</w:t>
      </w:r>
    </w:p>
    <w:p w14:paraId="00712D4F">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身份证号：</w:t>
      </w:r>
    </w:p>
    <w:p w14:paraId="246CEBBD">
      <w:pPr>
        <w:widowControl/>
        <w:shd w:val="clear" w:color="auto" w:fill="FFFFFF"/>
        <w:snapToGrid w:val="0"/>
        <w:spacing w:line="360" w:lineRule="auto"/>
        <w:ind w:left="-720" w:firstLine="840"/>
        <w:rPr>
          <w:rFonts w:hint="eastAsia" w:ascii="宋体" w:hAnsi="宋体" w:cs="宋体"/>
          <w:b/>
          <w:bCs/>
          <w:kern w:val="0"/>
        </w:rPr>
      </w:pPr>
      <w:r>
        <w:rPr>
          <w:rFonts w:hint="eastAsia" w:ascii="宋体" w:hAnsi="宋体" w:cs="宋体"/>
          <w:b/>
          <w:bCs/>
          <w:kern w:val="0"/>
        </w:rPr>
        <w:t>联系电话：</w:t>
      </w:r>
    </w:p>
    <w:p w14:paraId="60A9CE49">
      <w:pPr>
        <w:spacing w:line="420" w:lineRule="auto"/>
        <w:ind w:firstLine="480" w:firstLineChars="200"/>
        <w:jc w:val="left"/>
        <w:rPr>
          <w:rFonts w:hint="eastAsia" w:ascii="宋体" w:hAnsi="宋体" w:cs="宋体"/>
        </w:rPr>
      </w:pPr>
      <w:r>
        <w:rPr>
          <w:rFonts w:hint="eastAsia" w:ascii="宋体" w:hAnsi="宋体" w:cs="宋体"/>
        </w:rPr>
        <w:t>为了贯彻执行《中华人民共和国传染病防治法》《中华人民共和国固体废物污染环境防治法》《医疗废物管理条例》等法律、法规、标准、政策性文件，加强医疗废物的安全处理，防止疾病传播。甲方委托乙方清运</w:t>
      </w:r>
      <w:r>
        <w:rPr>
          <w:rFonts w:hint="eastAsia" w:ascii="宋体" w:hAnsi="宋体" w:cs="宋体"/>
          <w:lang w:val="en-US" w:eastAsia="zh-CN"/>
        </w:rPr>
        <w:t>处置</w:t>
      </w:r>
      <w:r>
        <w:rPr>
          <w:rFonts w:hint="eastAsia" w:ascii="宋体" w:hAnsi="宋体" w:cs="宋体"/>
        </w:rPr>
        <w:t>甲方产生的医疗废物。甲乙双方经友好协商，就清运</w:t>
      </w:r>
      <w:r>
        <w:rPr>
          <w:rFonts w:hint="eastAsia" w:ascii="宋体" w:hAnsi="宋体" w:cs="宋体"/>
          <w:lang w:val="en-US" w:eastAsia="zh-CN"/>
        </w:rPr>
        <w:t>处置</w:t>
      </w:r>
      <w:r>
        <w:rPr>
          <w:rFonts w:hint="eastAsia" w:ascii="宋体" w:hAnsi="宋体" w:cs="宋体"/>
        </w:rPr>
        <w:t>医疗废物事宜达成如下协议：</w:t>
      </w:r>
    </w:p>
    <w:p w14:paraId="3A5FA3CB">
      <w:pPr>
        <w:spacing w:line="420" w:lineRule="auto"/>
        <w:jc w:val="left"/>
        <w:rPr>
          <w:rFonts w:hint="eastAsia" w:ascii="宋体" w:hAnsi="宋体" w:cs="宋体"/>
          <w:b/>
          <w:bCs/>
        </w:rPr>
      </w:pPr>
      <w:r>
        <w:rPr>
          <w:rFonts w:hint="eastAsia" w:ascii="宋体" w:hAnsi="宋体" w:cs="宋体"/>
          <w:b/>
          <w:bCs/>
        </w:rPr>
        <w:t>第一条 甲方权利和义务</w:t>
      </w:r>
    </w:p>
    <w:p w14:paraId="52C417F8">
      <w:pPr>
        <w:snapToGrid w:val="0"/>
        <w:spacing w:line="420" w:lineRule="auto"/>
        <w:jc w:val="left"/>
        <w:rPr>
          <w:rFonts w:hint="eastAsia" w:ascii="宋体" w:hAnsi="宋体" w:cs="宋体"/>
        </w:rPr>
      </w:pPr>
      <w:r>
        <w:rPr>
          <w:rFonts w:hint="eastAsia" w:ascii="宋体" w:hAnsi="宋体" w:cs="宋体"/>
        </w:rPr>
        <w:t xml:space="preserve">   1.甲方保证本单位产生的各种医疗废物在交予乙方前按卫生标准进行消毒处理，达到符合清运的标准。医疗废物应放置在规范的专门的医疗废物暂时贮存站，并保证清运车辆安全畅通。</w:t>
      </w:r>
    </w:p>
    <w:p w14:paraId="1DD07B4F">
      <w:pPr>
        <w:snapToGrid w:val="0"/>
        <w:spacing w:line="420" w:lineRule="auto"/>
        <w:ind w:left="-156" w:leftChars="-65" w:firstLine="480" w:firstLineChars="200"/>
        <w:jc w:val="left"/>
        <w:rPr>
          <w:rFonts w:hint="eastAsia" w:ascii="宋体" w:hAnsi="宋体" w:cs="宋体"/>
        </w:rPr>
      </w:pPr>
      <w:r>
        <w:rPr>
          <w:rFonts w:hint="eastAsia" w:ascii="宋体" w:hAnsi="宋体" w:cs="宋体"/>
        </w:rPr>
        <w:t>2.甲方负责对医疗废物进行包装，包装应当符合《医疗废物专用包装袋、容器和警示标志标准</w:t>
      </w:r>
      <w:r>
        <w:rPr>
          <w:rFonts w:hint="eastAsia" w:ascii="宋体" w:hAnsi="宋体" w:cs="宋体"/>
        </w:rPr>
        <w:fldChar w:fldCharType="begin"/>
      </w:r>
      <w:r>
        <w:rPr>
          <w:rFonts w:hint="eastAsia" w:ascii="宋体" w:hAnsi="宋体" w:cs="宋体"/>
        </w:rPr>
        <w:instrText xml:space="preserve"> HYPERLINK "https://www.mee.gov.cn/ywgz/fgbz/bz/bzwb/gthw/qtxgbz/200803/W020080306421798697634.pdf" \t "https://www.mee.gov.cn/ywgz/fgbz/bz/bzwb/gthw/qtxgbz/200803/_self" </w:instrText>
      </w:r>
      <w:r>
        <w:rPr>
          <w:rFonts w:hint="eastAsia" w:ascii="宋体" w:hAnsi="宋体" w:cs="宋体"/>
        </w:rPr>
        <w:fldChar w:fldCharType="separate"/>
      </w:r>
      <w:r>
        <w:rPr>
          <w:rFonts w:hint="eastAsia" w:ascii="宋体" w:hAnsi="宋体" w:cs="宋体"/>
        </w:rPr>
        <w:t>（HJ 421-2008）</w:t>
      </w:r>
      <w:r>
        <w:rPr>
          <w:rFonts w:hint="eastAsia" w:ascii="宋体" w:hAnsi="宋体" w:cs="宋体"/>
        </w:rPr>
        <w:fldChar w:fldCharType="end"/>
      </w:r>
      <w:r>
        <w:rPr>
          <w:rFonts w:hint="eastAsia" w:ascii="宋体" w:hAnsi="宋体" w:cs="宋体"/>
        </w:rPr>
        <w:t>》的相关要求，包装袋、利器盒、周装箱应印制符合要求的警示标志和警告语</w:t>
      </w:r>
      <w:r>
        <w:rPr>
          <w:rFonts w:hint="eastAsia" w:ascii="宋体" w:hAnsi="宋体" w:cs="宋体"/>
          <w:shd w:val="clear" w:color="auto" w:fill="FFFFFF"/>
        </w:rPr>
        <w:t>，</w:t>
      </w:r>
      <w:r>
        <w:rPr>
          <w:rFonts w:hint="eastAsia" w:ascii="宋体" w:hAnsi="宋体" w:cs="宋体"/>
        </w:rPr>
        <w:t>装车现场如医疗废物包装不符合国家相关标准要求，甲方必须经过正确处理后才能装车。</w:t>
      </w:r>
    </w:p>
    <w:p w14:paraId="7AEBBA8E">
      <w:pPr>
        <w:snapToGrid w:val="0"/>
        <w:spacing w:line="420" w:lineRule="auto"/>
        <w:ind w:left="1" w:firstLine="355" w:firstLineChars="148"/>
        <w:jc w:val="left"/>
        <w:rPr>
          <w:rFonts w:hint="eastAsia" w:ascii="宋体" w:hAnsi="宋体" w:cs="宋体"/>
        </w:rPr>
      </w:pPr>
      <w:r>
        <w:rPr>
          <w:rFonts w:hint="eastAsia" w:ascii="宋体" w:hAnsi="宋体" w:cs="宋体"/>
        </w:rPr>
        <w:t>3.甲方负责医疗废物暂时贮存站现场的管理，并指定专人计重，重量经甲乙双方认可后，由甲方指定专人在乙方出具的运输单据和转移联单上签字。</w:t>
      </w:r>
    </w:p>
    <w:p w14:paraId="6CCC9855">
      <w:pPr>
        <w:snapToGrid w:val="0"/>
        <w:spacing w:line="420" w:lineRule="auto"/>
        <w:ind w:left="2" w:firstLine="355" w:firstLineChars="148"/>
        <w:jc w:val="left"/>
        <w:rPr>
          <w:rFonts w:hint="eastAsia" w:ascii="宋体" w:hAnsi="宋体" w:cs="宋体"/>
        </w:rPr>
      </w:pPr>
      <w:r>
        <w:rPr>
          <w:rFonts w:hint="eastAsia" w:ascii="宋体" w:hAnsi="宋体" w:cs="宋体"/>
        </w:rPr>
        <w:t>4.甲方按</w:t>
      </w:r>
      <w:r>
        <w:rPr>
          <w:rFonts w:hint="eastAsia" w:ascii="宋体" w:hAnsi="宋体" w:cs="宋体"/>
          <w:u w:val="single"/>
        </w:rPr>
        <w:t xml:space="preserve">   </w:t>
      </w:r>
      <w:r>
        <w:rPr>
          <w:rFonts w:hint="eastAsia" w:ascii="宋体" w:hAnsi="宋体" w:cs="宋体"/>
        </w:rPr>
        <w:t>元/公斤支付给乙方清运费用。</w:t>
      </w:r>
    </w:p>
    <w:p w14:paraId="469BA121">
      <w:pPr>
        <w:spacing w:line="420" w:lineRule="auto"/>
        <w:ind w:firstLine="360" w:firstLineChars="150"/>
        <w:jc w:val="left"/>
        <w:rPr>
          <w:rFonts w:hint="eastAsia" w:ascii="宋体" w:hAnsi="宋体" w:cs="宋体"/>
        </w:rPr>
      </w:pPr>
      <w:r>
        <w:rPr>
          <w:rFonts w:hint="eastAsia" w:ascii="宋体" w:hAnsi="宋体" w:cs="宋体"/>
        </w:rPr>
        <w:t>5.甲方应对医疗废物清运情况建立档案，相关资料妥善保存3年。</w:t>
      </w:r>
    </w:p>
    <w:p w14:paraId="0C6158BD">
      <w:pPr>
        <w:spacing w:line="420" w:lineRule="auto"/>
        <w:ind w:firstLine="360" w:firstLineChars="150"/>
        <w:jc w:val="left"/>
        <w:rPr>
          <w:rFonts w:hint="eastAsia" w:ascii="宋体" w:hAnsi="宋体" w:cs="宋体"/>
        </w:rPr>
      </w:pPr>
      <w:r>
        <w:rPr>
          <w:rFonts w:hint="eastAsia" w:ascii="宋体" w:hAnsi="宋体" w:cs="宋体"/>
        </w:rPr>
        <w:t>6.甲方应保证仅要求乙方清运医疗废物至取得相关经营许可的医疗废物处理站。</w:t>
      </w:r>
    </w:p>
    <w:p w14:paraId="31A86B6F">
      <w:pPr>
        <w:spacing w:line="420" w:lineRule="auto"/>
        <w:ind w:firstLine="360" w:firstLineChars="150"/>
        <w:jc w:val="left"/>
        <w:rPr>
          <w:rFonts w:hint="eastAsia" w:ascii="宋体" w:hAnsi="宋体" w:cs="宋体"/>
        </w:rPr>
      </w:pPr>
      <w:r>
        <w:rPr>
          <w:rFonts w:hint="eastAsia" w:ascii="宋体" w:hAnsi="宋体" w:cs="宋体"/>
        </w:rPr>
        <w:t>7.甲方应保证一定的作业区域以及作业车辆的免费停车场地，保证车辆行驶及作业通道畅通。</w:t>
      </w:r>
    </w:p>
    <w:p w14:paraId="4039C9AC">
      <w:pPr>
        <w:spacing w:line="420" w:lineRule="auto"/>
        <w:ind w:firstLine="360" w:firstLineChars="150"/>
        <w:jc w:val="left"/>
        <w:rPr>
          <w:rFonts w:hint="eastAsia" w:ascii="宋体" w:hAnsi="宋体" w:cs="宋体"/>
        </w:rPr>
      </w:pPr>
      <w:r>
        <w:rPr>
          <w:rFonts w:hint="eastAsia" w:ascii="宋体" w:hAnsi="宋体" w:cs="宋体"/>
        </w:rPr>
        <w:t>8.甲方医疗废物应存放在便于车辆装卸地点进行交接，如不符合相应条件，甲方应派专人将医疗废物自行运至停车地点交接。</w:t>
      </w:r>
    </w:p>
    <w:p w14:paraId="41396C74">
      <w:pPr>
        <w:spacing w:line="420" w:lineRule="auto"/>
        <w:ind w:firstLine="360" w:firstLineChars="150"/>
        <w:jc w:val="left"/>
        <w:rPr>
          <w:rFonts w:hint="eastAsia" w:ascii="宋体" w:hAnsi="宋体" w:cs="宋体"/>
        </w:rPr>
      </w:pPr>
      <w:r>
        <w:rPr>
          <w:rFonts w:hint="eastAsia" w:ascii="宋体" w:hAnsi="宋体" w:cs="宋体"/>
        </w:rPr>
        <w:t>9.甲方应对交付乙方转运的医疗废弃物的安全情况负责，不得放入易燃易爆、剧毒、易腐蚀、放射性等存在安全隐患风险的非医疗废物。确保交付转运的医疗废弃物满足乙方规范运输的全部必要条件。</w:t>
      </w:r>
    </w:p>
    <w:p w14:paraId="0454331C">
      <w:pPr>
        <w:spacing w:line="420" w:lineRule="auto"/>
        <w:jc w:val="left"/>
        <w:rPr>
          <w:rFonts w:hint="eastAsia" w:ascii="宋体" w:hAnsi="宋体" w:cs="宋体"/>
          <w:b/>
          <w:bCs/>
        </w:rPr>
      </w:pPr>
      <w:r>
        <w:rPr>
          <w:rFonts w:hint="eastAsia" w:ascii="宋体" w:hAnsi="宋体" w:cs="宋体"/>
          <w:b/>
          <w:bCs/>
        </w:rPr>
        <w:t>第二条 乙方权利和义务</w:t>
      </w:r>
    </w:p>
    <w:p w14:paraId="6E2DA574">
      <w:pPr>
        <w:spacing w:line="420" w:lineRule="auto"/>
        <w:jc w:val="left"/>
        <w:rPr>
          <w:rFonts w:hint="eastAsia" w:ascii="宋体" w:hAnsi="宋体" w:cs="宋体"/>
        </w:rPr>
      </w:pPr>
      <w:r>
        <w:rPr>
          <w:rFonts w:hint="eastAsia" w:ascii="宋体" w:hAnsi="宋体" w:cs="宋体"/>
        </w:rPr>
        <w:t xml:space="preserve">   1.乙方按照规定作业程序、路线</w:t>
      </w:r>
      <w:r>
        <w:rPr>
          <w:rFonts w:hint="eastAsia" w:ascii="宋体" w:hAnsi="宋体" w:cs="宋体"/>
          <w:shd w:val="clear" w:color="auto" w:fill="FFFFFF"/>
        </w:rPr>
        <w:t>使用有明显医疗废物标识的专用车辆</w:t>
      </w:r>
      <w:r>
        <w:rPr>
          <w:rFonts w:hint="eastAsia" w:ascii="宋体" w:hAnsi="宋体" w:cs="宋体"/>
        </w:rPr>
        <w:t>将医疗废物运送到医疗废物处理站进行集中处理。清运途中确保不丢弃、不遗撒，保证医疗废物安全清运处理。</w:t>
      </w:r>
    </w:p>
    <w:p w14:paraId="326B3A6D">
      <w:pPr>
        <w:spacing w:line="420" w:lineRule="auto"/>
        <w:jc w:val="left"/>
        <w:rPr>
          <w:rFonts w:hint="eastAsia" w:ascii="宋体" w:hAnsi="宋体" w:cs="宋体"/>
        </w:rPr>
      </w:pPr>
      <w:r>
        <w:rPr>
          <w:rFonts w:hint="eastAsia" w:ascii="宋体" w:hAnsi="宋体" w:cs="宋体"/>
        </w:rPr>
        <w:t xml:space="preserve">   2.乙方具有按照要求提供清运服务的能力。如遇不可抗力等原因，乙方不能及时清运医疗废物的，应及时通知甲方。具体解决方案，由甲乙双方协商确定。</w:t>
      </w:r>
    </w:p>
    <w:p w14:paraId="79C9BEEE">
      <w:pPr>
        <w:spacing w:line="420" w:lineRule="auto"/>
        <w:jc w:val="left"/>
        <w:rPr>
          <w:rFonts w:hint="eastAsia" w:ascii="宋体" w:hAnsi="宋体" w:cs="宋体"/>
        </w:rPr>
      </w:pPr>
      <w:r>
        <w:rPr>
          <w:rFonts w:hint="eastAsia" w:ascii="宋体" w:hAnsi="宋体" w:cs="宋体"/>
        </w:rPr>
        <w:t xml:space="preserve">   3.医疗废物计重并经甲方专人签署运输单据和转移联单后，乙方负责装车，如甲方未签署运输单据和转移联单，乙方有权拒绝装车并不承担任何违约责任。</w:t>
      </w:r>
    </w:p>
    <w:p w14:paraId="4B3089AF">
      <w:pPr>
        <w:spacing w:line="420" w:lineRule="auto"/>
        <w:ind w:firstLine="480" w:firstLineChars="200"/>
        <w:jc w:val="left"/>
        <w:rPr>
          <w:rFonts w:hint="eastAsia" w:ascii="宋体" w:hAnsi="宋体" w:cs="宋体"/>
        </w:rPr>
      </w:pPr>
      <w:r>
        <w:rPr>
          <w:rFonts w:hint="eastAsia" w:ascii="宋体" w:hAnsi="宋体" w:cs="宋体"/>
        </w:rPr>
        <w:t>4.乙方发现甲方所交运的医疗废弃物中混有易燃易爆、剧毒、易腐蚀、放射性等存在安全隐患风险的非医疗废物的物品或废物等不符合清运处理的，乙方有权拒绝装车并不承担任何违约责任。</w:t>
      </w:r>
    </w:p>
    <w:p w14:paraId="35270A06">
      <w:pPr>
        <w:spacing w:line="420" w:lineRule="auto"/>
        <w:jc w:val="left"/>
        <w:rPr>
          <w:rFonts w:hint="eastAsia" w:ascii="宋体" w:hAnsi="宋体" w:cs="宋体"/>
        </w:rPr>
      </w:pPr>
      <w:r>
        <w:rPr>
          <w:rFonts w:hint="eastAsia" w:ascii="宋体" w:hAnsi="宋体" w:cs="宋体"/>
        </w:rPr>
        <w:t xml:space="preserve">   5.乙方有权对包装破损、包装外表污染、未盛装于周转箱内的医疗废物及其他不符合相关规定标准的医疗废物包装要求甲方进行调整直至符合相关要求，如甲方拒绝，则乙方有权拒绝清运并上报相关主管部门且不承担任何违约责任。</w:t>
      </w:r>
    </w:p>
    <w:p w14:paraId="51D3E2F7">
      <w:pPr>
        <w:spacing w:line="420" w:lineRule="auto"/>
        <w:jc w:val="left"/>
        <w:rPr>
          <w:rFonts w:hint="eastAsia" w:ascii="宋体" w:hAnsi="宋体" w:cs="宋体"/>
        </w:rPr>
      </w:pPr>
      <w:r>
        <w:rPr>
          <w:rFonts w:hint="eastAsia" w:ascii="宋体" w:hAnsi="宋体" w:cs="宋体"/>
        </w:rPr>
        <w:t xml:space="preserve">   6.乙方有权拒绝清运医疗废物至未取得相关经营许可证的医疗废物处理站。</w:t>
      </w:r>
    </w:p>
    <w:p w14:paraId="33AF369F">
      <w:pPr>
        <w:spacing w:line="420" w:lineRule="auto"/>
        <w:ind w:left="2"/>
        <w:jc w:val="left"/>
        <w:rPr>
          <w:rFonts w:hint="eastAsia" w:ascii="宋体" w:hAnsi="宋体" w:cs="宋体"/>
          <w:b/>
          <w:bCs/>
        </w:rPr>
      </w:pPr>
      <w:r>
        <w:rPr>
          <w:rFonts w:hint="eastAsia" w:ascii="宋体" w:hAnsi="宋体" w:cs="宋体"/>
          <w:b/>
          <w:bCs/>
        </w:rPr>
        <w:t xml:space="preserve">第三条 交接周转箱 </w:t>
      </w:r>
    </w:p>
    <w:p w14:paraId="0AAAC281">
      <w:pPr>
        <w:spacing w:line="420" w:lineRule="auto"/>
        <w:ind w:firstLine="480" w:firstLineChars="200"/>
        <w:jc w:val="left"/>
        <w:rPr>
          <w:rFonts w:hint="eastAsia" w:ascii="宋体" w:hAnsi="宋体" w:cs="宋体"/>
        </w:rPr>
      </w:pPr>
      <w:r>
        <w:rPr>
          <w:rFonts w:hint="eastAsia" w:ascii="宋体" w:hAnsi="宋体" w:cs="宋体"/>
        </w:rPr>
        <w:t>甲乙双方交接周转箱时，双方只有在周转箱完好且符合协议约定及相关标准要求时才能接收。如乙方在接收周转箱时发现周转箱异常，乙方有权拒绝接收并不承担违约责任。</w:t>
      </w:r>
    </w:p>
    <w:p w14:paraId="7FD6D0F8">
      <w:pPr>
        <w:spacing w:line="420" w:lineRule="auto"/>
        <w:ind w:firstLine="480" w:firstLineChars="200"/>
        <w:jc w:val="left"/>
        <w:rPr>
          <w:rFonts w:hint="eastAsia" w:ascii="宋体" w:hAnsi="宋体" w:cs="宋体"/>
        </w:rPr>
      </w:pPr>
      <w:r>
        <w:rPr>
          <w:rFonts w:hint="eastAsia" w:ascii="宋体" w:hAnsi="宋体" w:cs="宋体"/>
        </w:rPr>
        <w:t>周转箱交接之前的遗失、遗撒等风险由甲方承担，周转箱交接之后的遗失、遗撒等风险由乙方承担。</w:t>
      </w:r>
    </w:p>
    <w:p w14:paraId="2071BBE8">
      <w:pPr>
        <w:spacing w:line="420" w:lineRule="auto"/>
        <w:ind w:left="2"/>
        <w:jc w:val="left"/>
        <w:rPr>
          <w:rFonts w:hint="eastAsia" w:ascii="宋体" w:hAnsi="宋体" w:cs="宋体"/>
          <w:b/>
          <w:bCs/>
        </w:rPr>
      </w:pPr>
      <w:r>
        <w:rPr>
          <w:rFonts w:hint="eastAsia" w:ascii="宋体" w:hAnsi="宋体" w:cs="宋体"/>
          <w:b/>
          <w:bCs/>
        </w:rPr>
        <w:t xml:space="preserve">第四条 清运时间 </w:t>
      </w:r>
    </w:p>
    <w:p w14:paraId="51264843">
      <w:pPr>
        <w:spacing w:line="420" w:lineRule="auto"/>
        <w:ind w:firstLine="480" w:firstLineChars="200"/>
        <w:jc w:val="left"/>
        <w:rPr>
          <w:rFonts w:hint="eastAsia" w:ascii="宋体" w:hAnsi="宋体" w:cs="宋体"/>
        </w:rPr>
      </w:pPr>
      <w:r>
        <w:rPr>
          <w:rFonts w:hint="eastAsia" w:ascii="宋体" w:hAnsi="宋体" w:cs="宋体"/>
        </w:rPr>
        <w:t>每周</w:t>
      </w:r>
      <w:r>
        <w:rPr>
          <w:rFonts w:hint="eastAsia" w:ascii="宋体" w:hAnsi="宋体" w:cs="宋体"/>
          <w:u w:val="single"/>
        </w:rPr>
        <w:t xml:space="preserve">  一至六  </w:t>
      </w:r>
      <w:r>
        <w:rPr>
          <w:rFonts w:hint="eastAsia" w:ascii="宋体" w:hAnsi="宋体" w:cs="宋体"/>
        </w:rPr>
        <w:t>运输。</w:t>
      </w:r>
    </w:p>
    <w:p w14:paraId="64AD8F6A">
      <w:pPr>
        <w:spacing w:line="420" w:lineRule="auto"/>
        <w:jc w:val="left"/>
        <w:rPr>
          <w:rFonts w:hint="eastAsia" w:ascii="宋体" w:hAnsi="宋体" w:cs="宋体"/>
          <w:b/>
          <w:bCs/>
        </w:rPr>
      </w:pPr>
      <w:r>
        <w:rPr>
          <w:rFonts w:hint="eastAsia" w:ascii="宋体" w:hAnsi="宋体" w:cs="宋体"/>
          <w:b/>
          <w:bCs/>
        </w:rPr>
        <w:t>第五条 计重方式</w:t>
      </w:r>
    </w:p>
    <w:p w14:paraId="41ECDEDD">
      <w:pPr>
        <w:spacing w:line="420" w:lineRule="auto"/>
        <w:ind w:firstLine="480" w:firstLineChars="200"/>
        <w:jc w:val="left"/>
        <w:rPr>
          <w:rFonts w:hint="eastAsia" w:ascii="宋体" w:hAnsi="宋体" w:cs="宋体"/>
        </w:rPr>
      </w:pPr>
      <w:r>
        <w:rPr>
          <w:rFonts w:hint="eastAsia" w:ascii="宋体" w:hAnsi="宋体" w:cs="宋体"/>
        </w:rPr>
        <w:t>甲方称重，乙方确认。</w:t>
      </w:r>
    </w:p>
    <w:p w14:paraId="0227E523">
      <w:pPr>
        <w:spacing w:line="420" w:lineRule="auto"/>
        <w:jc w:val="left"/>
        <w:rPr>
          <w:rFonts w:hint="eastAsia" w:ascii="宋体" w:hAnsi="宋体" w:cs="宋体"/>
          <w:b/>
          <w:bCs/>
        </w:rPr>
      </w:pPr>
      <w:r>
        <w:rPr>
          <w:rFonts w:hint="eastAsia" w:ascii="宋体" w:hAnsi="宋体" w:cs="宋体"/>
          <w:b/>
          <w:bCs/>
        </w:rPr>
        <w:t>第六条 结算方式</w:t>
      </w:r>
    </w:p>
    <w:p w14:paraId="34516721">
      <w:pPr>
        <w:spacing w:line="420" w:lineRule="auto"/>
        <w:ind w:firstLine="480" w:firstLineChars="200"/>
        <w:jc w:val="left"/>
        <w:rPr>
          <w:rFonts w:hint="eastAsia" w:ascii="宋体" w:hAnsi="宋体" w:cs="宋体"/>
        </w:rPr>
      </w:pPr>
      <w:r>
        <w:rPr>
          <w:rFonts w:hint="eastAsia" w:ascii="宋体" w:hAnsi="宋体" w:cs="宋体"/>
        </w:rPr>
        <w:t>每季度结算一次。</w:t>
      </w:r>
    </w:p>
    <w:p w14:paraId="1DDF7A44">
      <w:pPr>
        <w:spacing w:line="420" w:lineRule="auto"/>
        <w:ind w:firstLine="480" w:firstLineChars="200"/>
        <w:jc w:val="left"/>
        <w:rPr>
          <w:rFonts w:hint="eastAsia" w:ascii="宋体" w:hAnsi="宋体" w:cs="宋体"/>
        </w:rPr>
      </w:pPr>
      <w:r>
        <w:rPr>
          <w:rFonts w:hint="eastAsia" w:ascii="宋体" w:hAnsi="宋体" w:cs="宋体"/>
        </w:rPr>
        <w:t>1.乙方凭甲方专人签字的运输单据和明细单确认的医疗废物的清运价款向甲方请款，甲方在收到乙方的明细单和发票后</w:t>
      </w:r>
      <w:r>
        <w:rPr>
          <w:rFonts w:hint="eastAsia" w:ascii="宋体" w:hAnsi="宋体" w:cs="宋体"/>
          <w:bCs/>
        </w:rPr>
        <w:t>15日内</w:t>
      </w:r>
      <w:r>
        <w:rPr>
          <w:rFonts w:hint="eastAsia" w:ascii="宋体" w:hAnsi="宋体" w:cs="宋体"/>
        </w:rPr>
        <w:t>进行支付，甲方用转账支票、汇款或现金方式支付给乙方费用。</w:t>
      </w:r>
      <w:r>
        <w:rPr>
          <w:rFonts w:hint="eastAsia" w:ascii="宋体" w:hAnsi="宋体" w:cs="宋体"/>
        </w:rPr>
        <w:br w:type="textWrapping"/>
      </w:r>
      <w:r>
        <w:rPr>
          <w:rFonts w:hint="eastAsia" w:ascii="宋体" w:hAnsi="宋体" w:cs="宋体"/>
        </w:rPr>
        <w:t xml:space="preserve">    2.协议有效期内，若政府相关部门出台价格指导标准，或在出台价格指标标准后又修订价格指导标准，亦或出台其他可能影响价格的政策、发布相关的文件等，乙方有权利根据政府出台的政策、文件、价格指导标准与甲方商定清运</w:t>
      </w:r>
      <w:r>
        <w:rPr>
          <w:rFonts w:hint="eastAsia" w:ascii="宋体" w:hAnsi="宋体" w:cs="宋体"/>
          <w:lang w:val="en-US" w:eastAsia="zh-CN"/>
        </w:rPr>
        <w:t>处置</w:t>
      </w:r>
      <w:r>
        <w:rPr>
          <w:rFonts w:hint="eastAsia" w:ascii="宋体" w:hAnsi="宋体" w:cs="宋体"/>
        </w:rPr>
        <w:t>价格，甲方不得以任何理由拒绝价格调整，双方应在重新商定清运</w:t>
      </w:r>
      <w:r>
        <w:rPr>
          <w:rFonts w:hint="eastAsia" w:ascii="宋体" w:hAnsi="宋体" w:cs="宋体"/>
          <w:lang w:val="en-US" w:eastAsia="zh-CN"/>
        </w:rPr>
        <w:t>处置</w:t>
      </w:r>
      <w:r>
        <w:rPr>
          <w:rFonts w:hint="eastAsia" w:ascii="宋体" w:hAnsi="宋体" w:cs="宋体"/>
        </w:rPr>
        <w:t>价格后签订书面补充协议。</w:t>
      </w:r>
    </w:p>
    <w:p w14:paraId="604713EA">
      <w:pPr>
        <w:spacing w:line="420" w:lineRule="auto"/>
        <w:ind w:firstLine="480" w:firstLineChars="200"/>
        <w:jc w:val="left"/>
        <w:rPr>
          <w:rFonts w:hint="eastAsia" w:ascii="宋体" w:hAnsi="宋体" w:cs="宋体"/>
        </w:rPr>
      </w:pPr>
      <w:r>
        <w:rPr>
          <w:rFonts w:hint="eastAsia" w:ascii="宋体" w:hAnsi="宋体" w:cs="宋体"/>
        </w:rPr>
        <w:t>3.若甲方拒绝与乙方就政府出台的政策、文件、价格指导标准重新商定清运价格，乙方有权单方面与甲方解除协议且不承担任何违约责任。</w:t>
      </w:r>
    </w:p>
    <w:p w14:paraId="5FDEC16B">
      <w:pPr>
        <w:spacing w:line="420" w:lineRule="auto"/>
        <w:jc w:val="left"/>
        <w:rPr>
          <w:rFonts w:hint="eastAsia" w:ascii="宋体" w:hAnsi="宋体" w:cs="宋体"/>
          <w:b/>
          <w:bCs/>
        </w:rPr>
      </w:pPr>
      <w:r>
        <w:rPr>
          <w:rFonts w:hint="eastAsia" w:ascii="宋体" w:hAnsi="宋体" w:cs="宋体"/>
          <w:b/>
          <w:bCs/>
        </w:rPr>
        <w:t>第七条 违约责任</w:t>
      </w:r>
    </w:p>
    <w:p w14:paraId="664146A0">
      <w:pPr>
        <w:spacing w:line="420" w:lineRule="auto"/>
        <w:ind w:firstLine="480" w:firstLineChars="200"/>
        <w:jc w:val="left"/>
        <w:rPr>
          <w:rFonts w:hint="eastAsia" w:ascii="宋体" w:hAnsi="宋体" w:cs="宋体"/>
        </w:rPr>
      </w:pPr>
      <w:r>
        <w:rPr>
          <w:rFonts w:hint="eastAsia" w:ascii="宋体" w:hAnsi="宋体" w:cs="宋体"/>
        </w:rPr>
        <w:t>1.如甲方逾期、拖延或拒绝支付医疗废物清运</w:t>
      </w:r>
      <w:r>
        <w:rPr>
          <w:rFonts w:hint="eastAsia" w:ascii="宋体" w:hAnsi="宋体" w:cs="宋体"/>
          <w:lang w:val="en-US" w:eastAsia="zh-CN"/>
        </w:rPr>
        <w:t>处置</w:t>
      </w:r>
      <w:r>
        <w:rPr>
          <w:rFonts w:hint="eastAsia" w:ascii="宋体" w:hAnsi="宋体" w:cs="宋体"/>
        </w:rPr>
        <w:t>费的，乙方可停止收运并由甲方承担违约责任及相关不利后果，每逾期一天，应向乙方支付应付未付款项的5‰的违约金，如无法弥补乙方损失的，甲方应赔偿乙方损失。</w:t>
      </w:r>
    </w:p>
    <w:p w14:paraId="0ECCF70D">
      <w:pPr>
        <w:spacing w:line="420" w:lineRule="auto"/>
        <w:ind w:firstLine="480" w:firstLineChars="200"/>
        <w:jc w:val="left"/>
        <w:rPr>
          <w:rFonts w:hint="eastAsia" w:ascii="宋体" w:hAnsi="宋体" w:cs="宋体"/>
        </w:rPr>
      </w:pPr>
      <w:r>
        <w:rPr>
          <w:rFonts w:hint="eastAsia" w:ascii="宋体" w:hAnsi="宋体" w:cs="宋体"/>
        </w:rPr>
        <w:t>2.甲方超出或未按照《医疗废物分类目录》要求交付固体医疗废物，导致乙方或任意第三方损失的，由甲方承担全部责任。</w:t>
      </w:r>
    </w:p>
    <w:p w14:paraId="512FADBE">
      <w:pPr>
        <w:spacing w:line="420" w:lineRule="auto"/>
        <w:ind w:firstLine="480" w:firstLineChars="200"/>
        <w:jc w:val="left"/>
        <w:rPr>
          <w:rFonts w:hint="eastAsia" w:ascii="宋体" w:hAnsi="宋体" w:cs="宋体"/>
        </w:rPr>
      </w:pPr>
      <w:r>
        <w:rPr>
          <w:rFonts w:hint="eastAsia" w:ascii="宋体" w:hAnsi="宋体" w:cs="宋体"/>
        </w:rPr>
        <w:t>3.甲方未按照本协议约定或相关法律法规规定要求进行医疗废弃物包装造成医疗废物清运过程中发生丢失、遗撒的，由甲方承担一切责任。由此给乙方或者第三方造成任何损害后果的，由甲方承担。</w:t>
      </w:r>
    </w:p>
    <w:p w14:paraId="6AD7BF87">
      <w:pPr>
        <w:spacing w:line="420" w:lineRule="auto"/>
        <w:ind w:firstLine="480" w:firstLineChars="200"/>
        <w:jc w:val="left"/>
        <w:rPr>
          <w:rFonts w:hint="eastAsia" w:ascii="宋体" w:hAnsi="宋体" w:cs="宋体"/>
        </w:rPr>
      </w:pPr>
      <w:r>
        <w:rPr>
          <w:rFonts w:hint="eastAsia" w:ascii="宋体" w:hAnsi="宋体" w:cs="宋体"/>
        </w:rPr>
        <w:t>4.因甲方交运医疗废弃物中混有易燃易爆、剧毒、易腐蚀、放射性等存在安全隐患风险的非医疗废物的物品或废物引发的事故（如货物发生自燃、爆炸、污染环境等）由甲方负责承担，事故引起乙方车辆损失或其它第三方损失的由甲方负责赔偿，并且甲方负责消除事故产生的不良社会影响。</w:t>
      </w:r>
    </w:p>
    <w:p w14:paraId="72C27710">
      <w:pPr>
        <w:spacing w:line="420" w:lineRule="auto"/>
        <w:jc w:val="left"/>
        <w:rPr>
          <w:rFonts w:hint="eastAsia" w:ascii="宋体" w:hAnsi="宋体" w:cs="宋体"/>
          <w:b/>
          <w:bCs/>
        </w:rPr>
      </w:pPr>
      <w:r>
        <w:rPr>
          <w:rFonts w:hint="eastAsia" w:ascii="宋体" w:hAnsi="宋体" w:cs="宋体"/>
          <w:b/>
          <w:bCs/>
        </w:rPr>
        <w:t>第八条 不可抗力</w:t>
      </w:r>
    </w:p>
    <w:p w14:paraId="12F5AE2A">
      <w:pPr>
        <w:spacing w:line="420" w:lineRule="auto"/>
        <w:ind w:firstLine="480"/>
        <w:jc w:val="left"/>
        <w:rPr>
          <w:rFonts w:hint="eastAsia" w:ascii="宋体" w:hAnsi="宋体" w:cs="宋体"/>
        </w:rPr>
      </w:pPr>
      <w:r>
        <w:rPr>
          <w:rFonts w:hint="eastAsia" w:ascii="宋体" w:hAnsi="宋体" w:cs="宋体"/>
        </w:rPr>
        <w:t>1.由于发生不可抗力事件（如战争、暴动、严重火灾、水灾、台风、地震、政府行为和禁令等事件），致使协议任一方不能履行协议义务时，遭受不可抗力事件影响的一方负有在不可抗力事件发生之日起15日内尽快通知协议对方和采取合理措施减少对方损失的义务。</w:t>
      </w:r>
    </w:p>
    <w:p w14:paraId="16189B9F">
      <w:pPr>
        <w:spacing w:line="420" w:lineRule="auto"/>
        <w:ind w:firstLine="480"/>
        <w:jc w:val="left"/>
        <w:rPr>
          <w:rFonts w:hint="eastAsia" w:ascii="宋体" w:hAnsi="宋体" w:cs="宋体"/>
        </w:rPr>
      </w:pPr>
      <w:r>
        <w:rPr>
          <w:rFonts w:hint="eastAsia" w:ascii="宋体" w:hAnsi="宋体" w:cs="宋体"/>
        </w:rPr>
        <w:t>2.遭受不可抗力事件影响的一方在履行前述义务后免除违约责任。但其协议义务不因此免除。经协议双方协商同意，协议履行时间可合理延长，延长时间相当于因事件发生受到影响的时间。</w:t>
      </w:r>
    </w:p>
    <w:p w14:paraId="4FAFCA55">
      <w:pPr>
        <w:spacing w:line="420" w:lineRule="auto"/>
        <w:ind w:left="2"/>
        <w:jc w:val="left"/>
        <w:rPr>
          <w:rFonts w:hint="eastAsia" w:ascii="宋体" w:hAnsi="宋体" w:cs="宋体"/>
          <w:b/>
          <w:bCs/>
        </w:rPr>
      </w:pPr>
      <w:r>
        <w:rPr>
          <w:rFonts w:hint="eastAsia" w:ascii="宋体" w:hAnsi="宋体" w:cs="宋体"/>
          <w:b/>
          <w:bCs/>
        </w:rPr>
        <w:t>第九条 本协议未尽事宜，双方协商解决。如协商不成，应向协议签订地人民法院提起诉讼。</w:t>
      </w:r>
    </w:p>
    <w:p w14:paraId="4520FEFE">
      <w:pPr>
        <w:spacing w:line="420" w:lineRule="auto"/>
        <w:ind w:left="2"/>
        <w:jc w:val="left"/>
        <w:rPr>
          <w:rFonts w:hint="eastAsia" w:ascii="宋体" w:hAnsi="宋体" w:cs="宋体"/>
          <w:b/>
          <w:bCs/>
        </w:rPr>
      </w:pPr>
      <w:r>
        <w:rPr>
          <w:rFonts w:hint="eastAsia" w:ascii="宋体" w:hAnsi="宋体" w:cs="宋体"/>
          <w:b/>
          <w:bCs/>
        </w:rPr>
        <w:t>协议签订地：北京市石景山区</w:t>
      </w:r>
    </w:p>
    <w:p w14:paraId="04E3A971">
      <w:pPr>
        <w:spacing w:line="420" w:lineRule="auto"/>
        <w:ind w:left="2"/>
        <w:jc w:val="left"/>
        <w:rPr>
          <w:rFonts w:hint="eastAsia" w:ascii="宋体" w:hAnsi="宋体" w:cs="宋体"/>
          <w:b/>
          <w:bCs/>
        </w:rPr>
      </w:pPr>
      <w:r>
        <w:rPr>
          <w:rFonts w:hint="eastAsia" w:ascii="宋体" w:hAnsi="宋体" w:cs="宋体"/>
          <w:b/>
          <w:bCs/>
        </w:rPr>
        <w:t>第十条 本协议履行期间如遇政策变化需价格调整，双方可协商解决。</w:t>
      </w:r>
    </w:p>
    <w:p w14:paraId="7953044D">
      <w:pPr>
        <w:spacing w:line="420" w:lineRule="auto"/>
        <w:ind w:left="2"/>
        <w:jc w:val="left"/>
        <w:rPr>
          <w:rFonts w:hint="eastAsia" w:ascii="宋体" w:hAnsi="宋体" w:cs="宋体"/>
          <w:b/>
          <w:bCs/>
        </w:rPr>
      </w:pPr>
      <w:r>
        <w:rPr>
          <w:rFonts w:hint="eastAsia" w:ascii="宋体" w:hAnsi="宋体" w:cs="宋体"/>
          <w:b/>
          <w:bCs/>
        </w:rPr>
        <w:t>第十一条 本协议生效日期自</w:t>
      </w:r>
      <w:r>
        <w:rPr>
          <w:rFonts w:hint="eastAsia" w:ascii="宋体" w:hAnsi="宋体" w:cs="宋体"/>
          <w:b/>
          <w:bCs/>
          <w:u w:val="single"/>
        </w:rPr>
        <w:t xml:space="preserve"> 2025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u w:val="single"/>
          <w:lang w:val="en-US" w:eastAsia="zh-CN"/>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u w:val="single"/>
          <w:lang w:val="en-US" w:eastAsia="zh-CN"/>
        </w:rPr>
        <w:t xml:space="preserve">  </w:t>
      </w:r>
      <w:r>
        <w:rPr>
          <w:rFonts w:hint="eastAsia" w:ascii="宋体" w:hAnsi="宋体" w:cs="宋体"/>
          <w:b/>
          <w:bCs/>
          <w:u w:val="single"/>
        </w:rPr>
        <w:t xml:space="preserve"> </w:t>
      </w:r>
      <w:r>
        <w:rPr>
          <w:rFonts w:hint="eastAsia" w:ascii="宋体" w:hAnsi="宋体" w:cs="宋体"/>
          <w:b/>
          <w:bCs/>
        </w:rPr>
        <w:t>日至</w:t>
      </w:r>
      <w:r>
        <w:rPr>
          <w:rFonts w:hint="eastAsia" w:ascii="宋体" w:hAnsi="宋体" w:cs="宋体"/>
          <w:b/>
          <w:bCs/>
          <w:u w:val="single"/>
        </w:rPr>
        <w:t xml:space="preserve"> </w:t>
      </w:r>
      <w:r>
        <w:rPr>
          <w:rFonts w:hint="eastAsia" w:ascii="宋体" w:hAnsi="宋体" w:cs="宋体"/>
          <w:b/>
          <w:bCs/>
          <w:u w:val="single"/>
          <w:lang w:val="en-US" w:eastAsia="zh-CN"/>
        </w:rPr>
        <w:t xml:space="preserve">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u w:val="single"/>
          <w:lang w:val="en-US" w:eastAsia="zh-CN"/>
        </w:rPr>
        <w:t xml:space="preserve">  </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u w:val="single"/>
          <w:lang w:val="en-US" w:eastAsia="zh-CN"/>
        </w:rPr>
        <w:t xml:space="preserve">  </w:t>
      </w:r>
      <w:r>
        <w:rPr>
          <w:rFonts w:hint="eastAsia" w:ascii="宋体" w:hAnsi="宋体" w:cs="宋体"/>
          <w:b/>
          <w:bCs/>
          <w:u w:val="single"/>
        </w:rPr>
        <w:t xml:space="preserve"> </w:t>
      </w:r>
      <w:r>
        <w:rPr>
          <w:rFonts w:hint="eastAsia" w:ascii="宋体" w:hAnsi="宋体" w:cs="宋体"/>
          <w:b/>
          <w:bCs/>
        </w:rPr>
        <w:t>日止。</w:t>
      </w:r>
    </w:p>
    <w:p w14:paraId="0A7B4CE8">
      <w:pPr>
        <w:spacing w:line="420" w:lineRule="auto"/>
        <w:ind w:left="2"/>
        <w:jc w:val="left"/>
        <w:rPr>
          <w:rFonts w:hint="eastAsia" w:ascii="宋体" w:hAnsi="宋体" w:cs="宋体"/>
          <w:b/>
          <w:bCs/>
        </w:rPr>
      </w:pPr>
      <w:r>
        <w:rPr>
          <w:rFonts w:hint="eastAsia" w:ascii="宋体" w:hAnsi="宋体" w:cs="宋体"/>
          <w:b/>
          <w:bCs/>
        </w:rPr>
        <w:t>第十二条 本协议一式</w:t>
      </w:r>
      <w:r>
        <w:rPr>
          <w:rFonts w:hint="eastAsia" w:ascii="宋体" w:hAnsi="宋体" w:cs="宋体"/>
          <w:b/>
          <w:bCs/>
          <w:u w:val="single"/>
        </w:rPr>
        <w:t xml:space="preserve"> 6 </w:t>
      </w:r>
      <w:r>
        <w:rPr>
          <w:rFonts w:hint="eastAsia" w:ascii="宋体" w:hAnsi="宋体" w:cs="宋体"/>
          <w:b/>
          <w:bCs/>
        </w:rPr>
        <w:t>份，甲方执</w:t>
      </w:r>
      <w:r>
        <w:rPr>
          <w:rFonts w:hint="eastAsia" w:ascii="宋体" w:hAnsi="宋体" w:cs="宋体"/>
          <w:b/>
          <w:bCs/>
          <w:u w:val="single"/>
        </w:rPr>
        <w:t xml:space="preserve"> 3 </w:t>
      </w:r>
      <w:r>
        <w:rPr>
          <w:rFonts w:hint="eastAsia" w:ascii="宋体" w:hAnsi="宋体" w:cs="宋体"/>
          <w:b/>
          <w:bCs/>
        </w:rPr>
        <w:t>份，乙方执</w:t>
      </w:r>
      <w:r>
        <w:rPr>
          <w:rFonts w:hint="eastAsia" w:ascii="宋体" w:hAnsi="宋体" w:cs="宋体"/>
          <w:b/>
          <w:bCs/>
          <w:u w:val="single"/>
        </w:rPr>
        <w:t xml:space="preserve"> 3 </w:t>
      </w:r>
      <w:r>
        <w:rPr>
          <w:rFonts w:hint="eastAsia" w:ascii="宋体" w:hAnsi="宋体" w:cs="宋体"/>
          <w:b/>
          <w:bCs/>
        </w:rPr>
        <w:t>份，具有同等法律效力，自双方法定代表人或委托代理人签字并加盖公章或合同专用章之日生效。</w:t>
      </w:r>
    </w:p>
    <w:p w14:paraId="625B7E58">
      <w:pPr>
        <w:spacing w:line="420" w:lineRule="auto"/>
        <w:ind w:left="2"/>
        <w:jc w:val="left"/>
        <w:rPr>
          <w:rFonts w:hint="eastAsia" w:ascii="宋体" w:hAnsi="宋体" w:cs="宋体"/>
          <w:b/>
          <w:bCs/>
        </w:rPr>
      </w:pPr>
    </w:p>
    <w:p w14:paraId="2A371CA7">
      <w:pPr>
        <w:spacing w:line="420" w:lineRule="auto"/>
        <w:jc w:val="left"/>
        <w:rPr>
          <w:rFonts w:hint="eastAsia" w:ascii="宋体" w:hAnsi="宋体"/>
          <w:b/>
          <w:bCs/>
        </w:rPr>
      </w:pPr>
      <w:r>
        <w:rPr>
          <w:rFonts w:hint="eastAsia" w:ascii="宋体" w:hAnsi="宋体"/>
          <w:b/>
          <w:bCs/>
        </w:rPr>
        <w:t>甲 方：清华大学玉泉医院                 乙 方：</w:t>
      </w:r>
    </w:p>
    <w:p w14:paraId="13A4CD98">
      <w:pPr>
        <w:spacing w:line="420" w:lineRule="auto"/>
        <w:ind w:firstLine="241" w:firstLineChars="100"/>
        <w:jc w:val="left"/>
        <w:rPr>
          <w:rFonts w:hint="eastAsia" w:ascii="宋体" w:hAnsi="宋体"/>
          <w:b/>
          <w:bCs/>
        </w:rPr>
      </w:pPr>
      <w:r>
        <w:rPr>
          <w:rFonts w:hint="eastAsia" w:ascii="宋体" w:hAnsi="宋体"/>
          <w:b/>
          <w:bCs/>
        </w:rPr>
        <w:t xml:space="preserve">（清华大学中西医结合医院）                         </w:t>
      </w:r>
    </w:p>
    <w:p w14:paraId="6D667BC2">
      <w:pPr>
        <w:spacing w:line="480" w:lineRule="auto"/>
        <w:jc w:val="left"/>
        <w:rPr>
          <w:rFonts w:hint="eastAsia" w:ascii="宋体" w:hAnsi="宋体"/>
        </w:rPr>
      </w:pPr>
    </w:p>
    <w:p w14:paraId="43BAD815">
      <w:pPr>
        <w:spacing w:line="480" w:lineRule="auto"/>
        <w:jc w:val="left"/>
        <w:rPr>
          <w:rFonts w:hint="eastAsia" w:ascii="宋体" w:hAnsi="宋体"/>
        </w:rPr>
      </w:pPr>
      <w:r>
        <w:rPr>
          <w:rFonts w:hint="eastAsia" w:ascii="宋体" w:hAnsi="宋体"/>
        </w:rPr>
        <w:t xml:space="preserve">法定代表人/授权代表：                 法定代表人/授权代表：              </w:t>
      </w:r>
    </w:p>
    <w:p w14:paraId="417BE26F">
      <w:pPr>
        <w:spacing w:line="480" w:lineRule="auto"/>
        <w:jc w:val="left"/>
        <w:rPr>
          <w:rFonts w:hint="eastAsia" w:ascii="宋体" w:hAnsi="宋体"/>
        </w:rPr>
      </w:pPr>
      <w:r>
        <w:rPr>
          <w:rFonts w:hint="eastAsia" w:ascii="宋体" w:hAnsi="宋体"/>
        </w:rPr>
        <w:t>联系电话：</w:t>
      </w:r>
      <w:r>
        <w:rPr>
          <w:rFonts w:hint="eastAsia" w:ascii="宋体" w:hAnsi="宋体" w:cs="宋体"/>
        </w:rPr>
        <w:t>88257755</w:t>
      </w:r>
      <w:r>
        <w:rPr>
          <w:rFonts w:hint="eastAsia" w:ascii="宋体" w:hAnsi="宋体"/>
        </w:rPr>
        <w:t xml:space="preserve">                      联系电话：</w:t>
      </w:r>
    </w:p>
    <w:p w14:paraId="0FE10F9A">
      <w:pPr>
        <w:spacing w:line="480" w:lineRule="auto"/>
        <w:jc w:val="left"/>
        <w:rPr>
          <w:rFonts w:hint="eastAsia" w:ascii="宋体" w:hAnsi="宋体"/>
        </w:rPr>
      </w:pPr>
      <w:r>
        <w:rPr>
          <w:rFonts w:hint="eastAsia" w:ascii="宋体" w:hAnsi="宋体"/>
        </w:rPr>
        <w:t>地址：</w:t>
      </w:r>
      <w:r>
        <w:rPr>
          <w:rFonts w:hint="eastAsia" w:ascii="宋体" w:hAnsi="宋体" w:cs="宋体"/>
        </w:rPr>
        <w:t xml:space="preserve">石景山区石景山路5号   </w:t>
      </w:r>
      <w:r>
        <w:rPr>
          <w:rFonts w:hint="eastAsia" w:ascii="宋体" w:hAnsi="宋体"/>
        </w:rPr>
        <w:t xml:space="preserve">           地  址：</w:t>
      </w:r>
    </w:p>
    <w:p w14:paraId="0037B38E">
      <w:pPr>
        <w:spacing w:line="480" w:lineRule="auto"/>
        <w:jc w:val="left"/>
      </w:pPr>
      <w:r>
        <w:rPr>
          <w:rFonts w:hint="eastAsia" w:ascii="宋体" w:hAnsi="宋体"/>
        </w:rPr>
        <w:t xml:space="preserve">签订日期：       年    月   日          签订日期：       年    月    日 </w:t>
      </w:r>
    </w:p>
    <w:p w14:paraId="029D834C">
      <w:pPr>
        <w:spacing w:line="480" w:lineRule="auto"/>
      </w:pPr>
    </w:p>
    <w:p w14:paraId="46FE499A">
      <w:pPr>
        <w:spacing w:line="480" w:lineRule="auto"/>
      </w:pPr>
    </w:p>
    <w:p w14:paraId="6CEFE7C6">
      <w:pPr>
        <w:spacing w:line="480" w:lineRule="auto"/>
        <w:rPr>
          <w:rFonts w:hint="eastAsia"/>
        </w:rPr>
      </w:pPr>
    </w:p>
    <w:p w14:paraId="799908DD">
      <w:pPr>
        <w:pStyle w:val="3"/>
        <w:keepNext w:val="0"/>
        <w:keepLines w:val="0"/>
        <w:tabs>
          <w:tab w:val="left" w:pos="1701"/>
        </w:tabs>
        <w:spacing w:before="0" w:after="0" w:line="240" w:lineRule="auto"/>
        <w:jc w:val="center"/>
        <w:rPr>
          <w:rFonts w:hAnsi="宋体"/>
          <w:sz w:val="36"/>
          <w:szCs w:val="36"/>
        </w:rPr>
      </w:pPr>
      <w:bookmarkStart w:id="141" w:name="_Toc168175763"/>
      <w:r>
        <w:rPr>
          <w:rFonts w:hAnsi="宋体"/>
          <w:bCs w:val="0"/>
          <w:color w:val="auto"/>
          <w:sz w:val="36"/>
          <w:szCs w:val="36"/>
        </w:rPr>
        <w:t>第</w:t>
      </w:r>
      <w:r>
        <w:rPr>
          <w:rFonts w:hint="eastAsia" w:hAnsi="宋体"/>
          <w:bCs w:val="0"/>
          <w:sz w:val="36"/>
          <w:szCs w:val="36"/>
        </w:rPr>
        <w:t>五</w:t>
      </w:r>
      <w:r>
        <w:rPr>
          <w:rFonts w:hint="eastAsia" w:hAnsi="宋体"/>
          <w:bCs w:val="0"/>
          <w:color w:val="auto"/>
          <w:sz w:val="36"/>
          <w:szCs w:val="36"/>
        </w:rPr>
        <w:t>章</w:t>
      </w:r>
      <w:r>
        <w:rPr>
          <w:rFonts w:hint="eastAsia" w:hAnsi="宋体"/>
          <w:bCs w:val="0"/>
          <w:color w:val="auto"/>
          <w:sz w:val="36"/>
          <w:szCs w:val="36"/>
        </w:rPr>
        <w:tab/>
      </w:r>
      <w:r>
        <w:rPr>
          <w:rFonts w:hint="eastAsia" w:hAnsi="宋体"/>
          <w:sz w:val="36"/>
          <w:szCs w:val="36"/>
        </w:rPr>
        <w:t>响应文件格式</w:t>
      </w:r>
      <w:bookmarkEnd w:id="141"/>
    </w:p>
    <w:p w14:paraId="47161CC9">
      <w:pPr>
        <w:spacing w:before="240" w:beforeLines="100" w:after="240" w:afterLines="100"/>
        <w:jc w:val="center"/>
        <w:outlineLvl w:val="1"/>
        <w:rPr>
          <w:rFonts w:hAnsi="宋体"/>
          <w:b/>
          <w:sz w:val="32"/>
          <w:szCs w:val="32"/>
        </w:rPr>
      </w:pPr>
      <w:r>
        <w:rPr>
          <w:rFonts w:hint="eastAsia" w:hAnsi="宋体"/>
          <w:b/>
          <w:sz w:val="32"/>
          <w:szCs w:val="32"/>
        </w:rPr>
        <w:t>一、响应</w:t>
      </w:r>
      <w:r>
        <w:rPr>
          <w:rFonts w:hAnsi="宋体"/>
          <w:b/>
          <w:sz w:val="32"/>
          <w:szCs w:val="32"/>
        </w:rPr>
        <w:t>函</w:t>
      </w:r>
    </w:p>
    <w:p w14:paraId="7EBFE7E8">
      <w:pPr>
        <w:spacing w:line="360" w:lineRule="auto"/>
        <w:rPr>
          <w:rFonts w:ascii="宋体" w:hAnsi="宋体"/>
        </w:rPr>
      </w:pPr>
      <w:r>
        <w:rPr>
          <w:rFonts w:hint="eastAsia" w:ascii="宋体" w:hAnsi="宋体"/>
        </w:rPr>
        <w:t>致：清华大学玉泉医院（清华大学中西医结合医院）</w:t>
      </w:r>
    </w:p>
    <w:p w14:paraId="2415AC3D">
      <w:pPr>
        <w:spacing w:line="360" w:lineRule="auto"/>
        <w:ind w:firstLine="480" w:firstLineChars="200"/>
        <w:rPr>
          <w:rFonts w:ascii="宋体" w:hAnsi="宋体"/>
        </w:rPr>
      </w:pPr>
      <w:r>
        <w:rPr>
          <w:rFonts w:ascii="宋体" w:hAnsi="宋体"/>
        </w:rPr>
        <w:t>我方</w:t>
      </w:r>
      <w:r>
        <w:rPr>
          <w:rFonts w:hint="eastAsia" w:ascii="宋体" w:hAnsi="宋体"/>
        </w:rPr>
        <w:t>已充分研究了</w:t>
      </w:r>
      <w:r>
        <w:rPr>
          <w:rFonts w:hint="eastAsia" w:ascii="宋体" w:hAnsi="宋体"/>
          <w:u w:val="single"/>
        </w:rPr>
        <w:t xml:space="preserve"> </w:t>
      </w:r>
      <w:r>
        <w:rPr>
          <w:rFonts w:ascii="宋体" w:hAnsi="宋体"/>
          <w:u w:val="single"/>
        </w:rPr>
        <w:t xml:space="preserve">               </w:t>
      </w:r>
      <w:r>
        <w:rPr>
          <w:rFonts w:hint="eastAsia" w:ascii="宋体" w:hAnsi="宋体"/>
        </w:rPr>
        <w:t>（项目名称）比选文件的全部内容，愿意按照比选文件的内容充分响应，并按合同约定履行期限内完成本项目服务工作。</w:t>
      </w:r>
    </w:p>
    <w:p w14:paraId="6956FEEA">
      <w:pPr>
        <w:spacing w:line="360" w:lineRule="auto"/>
        <w:ind w:firstLine="480" w:firstLineChars="200"/>
        <w:rPr>
          <w:rFonts w:ascii="宋体" w:hAnsi="宋体"/>
        </w:rPr>
      </w:pPr>
      <w:r>
        <w:rPr>
          <w:rFonts w:hint="eastAsia" w:ascii="宋体" w:hAnsi="宋体"/>
        </w:rPr>
        <w:t>我方</w:t>
      </w:r>
      <w:r>
        <w:rPr>
          <w:rFonts w:ascii="宋体" w:hAnsi="宋体"/>
        </w:rPr>
        <w:t>正式授权</w:t>
      </w:r>
      <w:r>
        <w:rPr>
          <w:rFonts w:ascii="宋体" w:hAnsi="宋体"/>
          <w:u w:val="single"/>
        </w:rPr>
        <w:t xml:space="preserve">          </w:t>
      </w:r>
      <w:r>
        <w:rPr>
          <w:rFonts w:ascii="宋体" w:hAnsi="宋体"/>
        </w:rPr>
        <w:t>（</w:t>
      </w:r>
      <w:r>
        <w:rPr>
          <w:rFonts w:hint="eastAsia" w:ascii="宋体" w:hAnsi="宋体"/>
        </w:rPr>
        <w:t>姓名、</w:t>
      </w:r>
      <w:r>
        <w:rPr>
          <w:rFonts w:ascii="宋体" w:hAnsi="宋体"/>
        </w:rPr>
        <w:t>职务）代表</w:t>
      </w:r>
      <w:r>
        <w:rPr>
          <w:rFonts w:hint="eastAsia" w:ascii="宋体" w:hAnsi="宋体"/>
          <w:u w:val="single"/>
        </w:rPr>
        <w:t xml:space="preserve"> </w:t>
      </w:r>
      <w:r>
        <w:rPr>
          <w:rFonts w:ascii="宋体" w:hAnsi="宋体"/>
          <w:u w:val="single"/>
        </w:rPr>
        <w:t xml:space="preserve">       </w:t>
      </w:r>
      <w:r>
        <w:rPr>
          <w:rFonts w:ascii="宋体" w:hAnsi="宋体"/>
        </w:rPr>
        <w:t>（</w:t>
      </w:r>
      <w:r>
        <w:rPr>
          <w:rFonts w:hint="eastAsia" w:ascii="宋体" w:hAnsi="宋体"/>
        </w:rPr>
        <w:t>供应商</w:t>
      </w:r>
      <w:r>
        <w:rPr>
          <w:rFonts w:ascii="宋体" w:hAnsi="宋体"/>
        </w:rPr>
        <w:t>名称），提交</w:t>
      </w:r>
      <w:r>
        <w:rPr>
          <w:rFonts w:hint="eastAsia" w:ascii="宋体" w:hAnsi="宋体"/>
        </w:rPr>
        <w:t>比选</w:t>
      </w:r>
      <w:r>
        <w:rPr>
          <w:rFonts w:ascii="宋体" w:hAnsi="宋体"/>
        </w:rPr>
        <w:t>文件要求的全套</w:t>
      </w:r>
      <w:r>
        <w:rPr>
          <w:rFonts w:hint="eastAsia" w:ascii="宋体" w:hAnsi="宋体"/>
        </w:rPr>
        <w:t>响应</w:t>
      </w:r>
      <w:r>
        <w:rPr>
          <w:rFonts w:ascii="宋体" w:hAnsi="宋体"/>
        </w:rPr>
        <w:t>文件，包括：</w:t>
      </w:r>
    </w:p>
    <w:p w14:paraId="733BA932">
      <w:pPr>
        <w:spacing w:line="360" w:lineRule="auto"/>
        <w:ind w:firstLine="480" w:firstLineChars="200"/>
        <w:rPr>
          <w:rFonts w:ascii="宋体" w:hAnsi="宋体"/>
        </w:rPr>
      </w:pPr>
      <w:r>
        <w:rPr>
          <w:rFonts w:ascii="宋体" w:hAnsi="宋体"/>
        </w:rPr>
        <w:t>1．</w:t>
      </w:r>
      <w:r>
        <w:rPr>
          <w:rFonts w:hint="eastAsia" w:ascii="宋体" w:hAnsi="宋体"/>
        </w:rPr>
        <w:t>比选</w:t>
      </w:r>
      <w:r>
        <w:rPr>
          <w:rFonts w:ascii="宋体" w:hAnsi="宋体"/>
        </w:rPr>
        <w:t>文件中要求的</w:t>
      </w:r>
      <w:r>
        <w:rPr>
          <w:rFonts w:hint="eastAsia" w:ascii="宋体" w:hAnsi="宋体"/>
        </w:rPr>
        <w:t>响应</w:t>
      </w:r>
      <w:r>
        <w:rPr>
          <w:rFonts w:ascii="宋体" w:hAnsi="宋体"/>
        </w:rPr>
        <w:t>文件；</w:t>
      </w:r>
    </w:p>
    <w:p w14:paraId="7E254C0C">
      <w:pPr>
        <w:spacing w:line="360" w:lineRule="auto"/>
        <w:ind w:firstLine="480" w:firstLineChars="200"/>
        <w:rPr>
          <w:rFonts w:ascii="宋体" w:hAnsi="宋体"/>
        </w:rPr>
      </w:pPr>
      <w:r>
        <w:rPr>
          <w:rFonts w:ascii="宋体" w:hAnsi="宋体"/>
        </w:rPr>
        <w:t>2．金额为</w:t>
      </w:r>
      <w:r>
        <w:rPr>
          <w:rFonts w:hint="eastAsia" w:ascii="宋体" w:hAnsi="宋体"/>
          <w:u w:val="single"/>
        </w:rPr>
        <w:t xml:space="preserve">          </w:t>
      </w:r>
      <w:r>
        <w:rPr>
          <w:rFonts w:ascii="宋体" w:hAnsi="宋体"/>
        </w:rPr>
        <w:t>元的</w:t>
      </w:r>
      <w:r>
        <w:rPr>
          <w:rFonts w:hint="eastAsia" w:ascii="宋体" w:hAnsi="宋体"/>
        </w:rPr>
        <w:t>参选</w:t>
      </w:r>
      <w:r>
        <w:rPr>
          <w:rFonts w:ascii="宋体" w:hAnsi="宋体"/>
        </w:rPr>
        <w:t>保证金</w:t>
      </w:r>
      <w:r>
        <w:rPr>
          <w:rFonts w:hint="eastAsia" w:ascii="宋体" w:hAnsi="宋体"/>
        </w:rPr>
        <w:t>（如有）</w:t>
      </w:r>
      <w:r>
        <w:rPr>
          <w:rFonts w:ascii="宋体" w:hAnsi="宋体"/>
        </w:rPr>
        <w:t>；</w:t>
      </w:r>
    </w:p>
    <w:p w14:paraId="762ED67B">
      <w:pPr>
        <w:spacing w:line="360" w:lineRule="auto"/>
        <w:ind w:firstLine="480" w:firstLineChars="200"/>
        <w:rPr>
          <w:rFonts w:ascii="宋体" w:hAnsi="宋体"/>
        </w:rPr>
      </w:pPr>
      <w:r>
        <w:rPr>
          <w:rFonts w:ascii="宋体" w:hAnsi="宋体"/>
        </w:rPr>
        <w:t>3．其他资料。</w:t>
      </w:r>
    </w:p>
    <w:p w14:paraId="6E3674A2">
      <w:pPr>
        <w:spacing w:line="360" w:lineRule="auto"/>
        <w:rPr>
          <w:rFonts w:ascii="宋体" w:hAnsi="宋体"/>
        </w:rPr>
      </w:pPr>
      <w:r>
        <w:rPr>
          <w:rFonts w:ascii="宋体" w:hAnsi="宋体"/>
        </w:rPr>
        <w:t>据此函，</w:t>
      </w:r>
      <w:r>
        <w:rPr>
          <w:rFonts w:hint="eastAsia" w:ascii="宋体" w:hAnsi="宋体"/>
        </w:rPr>
        <w:t>我方</w:t>
      </w:r>
      <w:r>
        <w:rPr>
          <w:rFonts w:ascii="宋体" w:hAnsi="宋体"/>
        </w:rPr>
        <w:t>兹宣布同意如下：</w:t>
      </w:r>
    </w:p>
    <w:p w14:paraId="1E001EF1">
      <w:pPr>
        <w:spacing w:line="360" w:lineRule="auto"/>
        <w:ind w:firstLine="480"/>
        <w:rPr>
          <w:rFonts w:ascii="宋体" w:hAnsi="宋体"/>
        </w:rPr>
      </w:pPr>
      <w:r>
        <w:rPr>
          <w:rFonts w:ascii="宋体" w:hAnsi="宋体"/>
        </w:rPr>
        <w:t>1.</w:t>
      </w:r>
      <w:r>
        <w:rPr>
          <w:rFonts w:hint="eastAsia" w:ascii="宋体" w:hAnsi="宋体"/>
        </w:rPr>
        <w:t>我方同意在从规定的响应截止时间起</w:t>
      </w:r>
      <w:r>
        <w:rPr>
          <w:rFonts w:hint="eastAsia" w:ascii="宋体" w:hAnsi="宋体"/>
          <w:u w:val="single"/>
        </w:rPr>
        <w:t xml:space="preserve">    </w:t>
      </w:r>
      <w:r>
        <w:rPr>
          <w:rFonts w:hint="eastAsia" w:ascii="宋体" w:hAnsi="宋体"/>
        </w:rPr>
        <w:t>天的有效期内严格遵守本响应函的各项承诺。在此期限届满之前，本响应函始终对我方具有约束力，并随时准备接受你方发出的成交通知书。</w:t>
      </w:r>
    </w:p>
    <w:p w14:paraId="472AC327">
      <w:pPr>
        <w:spacing w:line="360" w:lineRule="auto"/>
        <w:ind w:firstLine="480"/>
        <w:rPr>
          <w:rFonts w:ascii="宋体" w:hAnsi="宋体"/>
        </w:rPr>
      </w:pPr>
      <w:r>
        <w:rPr>
          <w:rFonts w:hint="eastAsia" w:ascii="宋体" w:hAnsi="宋体"/>
        </w:rPr>
        <w:t>2</w:t>
      </w:r>
      <w:r>
        <w:rPr>
          <w:rFonts w:ascii="宋体" w:hAnsi="宋体"/>
        </w:rPr>
        <w:t>.一旦我方</w:t>
      </w:r>
      <w:r>
        <w:rPr>
          <w:rFonts w:hint="eastAsia" w:ascii="宋体" w:hAnsi="宋体"/>
        </w:rPr>
        <w:t>成交</w:t>
      </w:r>
      <w:r>
        <w:rPr>
          <w:rFonts w:ascii="宋体" w:hAnsi="宋体"/>
        </w:rPr>
        <w:t>，我方将按照</w:t>
      </w:r>
      <w:r>
        <w:rPr>
          <w:rFonts w:hint="eastAsia" w:ascii="宋体" w:hAnsi="宋体"/>
        </w:rPr>
        <w:t>响应</w:t>
      </w:r>
      <w:r>
        <w:rPr>
          <w:rFonts w:ascii="宋体" w:hAnsi="宋体"/>
        </w:rPr>
        <w:t>文件中的承诺组建项目</w:t>
      </w:r>
      <w:r>
        <w:rPr>
          <w:rFonts w:hint="eastAsia" w:ascii="宋体" w:hAnsi="宋体"/>
        </w:rPr>
        <w:t>服务</w:t>
      </w:r>
      <w:r>
        <w:rPr>
          <w:rFonts w:ascii="宋体" w:hAnsi="宋体"/>
        </w:rPr>
        <w:t>组，由</w:t>
      </w:r>
      <w:r>
        <w:rPr>
          <w:rFonts w:hint="eastAsia" w:ascii="宋体" w:hAnsi="宋体"/>
        </w:rPr>
        <w:t>响应</w:t>
      </w:r>
      <w:r>
        <w:rPr>
          <w:rFonts w:ascii="宋体" w:hAnsi="宋体"/>
        </w:rPr>
        <w:t>文件所承诺的</w:t>
      </w:r>
      <w:r>
        <w:rPr>
          <w:rFonts w:hint="eastAsia" w:ascii="宋体" w:hAnsi="宋体"/>
        </w:rPr>
        <w:t>服务</w:t>
      </w:r>
      <w:r>
        <w:rPr>
          <w:rFonts w:ascii="宋体" w:hAnsi="宋体"/>
        </w:rPr>
        <w:t>人员完成本项目的全部工作，保证在未征得</w:t>
      </w:r>
      <w:r>
        <w:rPr>
          <w:rFonts w:hint="eastAsia" w:ascii="宋体" w:hAnsi="宋体"/>
        </w:rPr>
        <w:t>委托</w:t>
      </w:r>
      <w:r>
        <w:rPr>
          <w:rFonts w:ascii="宋体" w:hAnsi="宋体"/>
        </w:rPr>
        <w:t>人同意的前提下不变更主要</w:t>
      </w:r>
      <w:r>
        <w:rPr>
          <w:rFonts w:hint="eastAsia" w:ascii="宋体" w:hAnsi="宋体"/>
        </w:rPr>
        <w:t>服务</w:t>
      </w:r>
      <w:r>
        <w:rPr>
          <w:rFonts w:ascii="宋体" w:hAnsi="宋体"/>
        </w:rPr>
        <w:t>人员，保证按</w:t>
      </w:r>
      <w:r>
        <w:rPr>
          <w:rFonts w:hint="eastAsia" w:ascii="宋体" w:hAnsi="宋体"/>
        </w:rPr>
        <w:t>报价函</w:t>
      </w:r>
      <w:r>
        <w:rPr>
          <w:rFonts w:ascii="宋体" w:hAnsi="宋体"/>
        </w:rPr>
        <w:t>中承诺的</w:t>
      </w:r>
      <w:r>
        <w:rPr>
          <w:rFonts w:hint="eastAsia" w:ascii="宋体" w:hAnsi="宋体"/>
        </w:rPr>
        <w:t>期限内</w:t>
      </w:r>
      <w:r>
        <w:rPr>
          <w:rFonts w:ascii="宋体" w:hAnsi="宋体"/>
        </w:rPr>
        <w:t>完成并提供相应的</w:t>
      </w:r>
      <w:r>
        <w:rPr>
          <w:rFonts w:hint="eastAsia" w:ascii="宋体" w:hAnsi="宋体"/>
        </w:rPr>
        <w:t>相关</w:t>
      </w:r>
      <w:r>
        <w:rPr>
          <w:rFonts w:ascii="宋体" w:hAnsi="宋体"/>
        </w:rPr>
        <w:t>服务。</w:t>
      </w:r>
    </w:p>
    <w:p w14:paraId="41261E76">
      <w:pPr>
        <w:spacing w:line="360" w:lineRule="auto"/>
        <w:ind w:firstLine="480" w:firstLineChars="200"/>
        <w:rPr>
          <w:rFonts w:ascii="宋体" w:hAnsi="宋体"/>
        </w:rPr>
      </w:pPr>
      <w:r>
        <w:rPr>
          <w:rFonts w:hint="eastAsia" w:ascii="宋体" w:hAnsi="宋体"/>
        </w:rPr>
        <w:t>3</w:t>
      </w:r>
      <w:r>
        <w:rPr>
          <w:rFonts w:ascii="宋体" w:hAnsi="宋体"/>
        </w:rPr>
        <w:t>．除非另外达成协议并生效，贵方的</w:t>
      </w:r>
      <w:r>
        <w:rPr>
          <w:rFonts w:hint="eastAsia" w:ascii="宋体" w:hAnsi="宋体"/>
        </w:rPr>
        <w:t>成交</w:t>
      </w:r>
      <w:r>
        <w:rPr>
          <w:rFonts w:ascii="宋体" w:hAnsi="宋体"/>
        </w:rPr>
        <w:t>通知书和本</w:t>
      </w:r>
      <w:r>
        <w:rPr>
          <w:rFonts w:hint="eastAsia" w:ascii="宋体" w:hAnsi="宋体"/>
        </w:rPr>
        <w:t>响应</w:t>
      </w:r>
      <w:r>
        <w:rPr>
          <w:rFonts w:ascii="宋体" w:hAnsi="宋体"/>
        </w:rPr>
        <w:t>文件将成为约束双方的合同文件的组成部分。</w:t>
      </w:r>
    </w:p>
    <w:p w14:paraId="69685681">
      <w:pPr>
        <w:spacing w:line="360" w:lineRule="auto"/>
        <w:ind w:firstLine="480" w:firstLineChars="200"/>
        <w:rPr>
          <w:rFonts w:hint="eastAsia" w:ascii="宋体" w:hAnsi="宋体"/>
        </w:rPr>
      </w:pPr>
      <w:r>
        <w:rPr>
          <w:rFonts w:hint="eastAsia" w:ascii="宋体" w:hAnsi="宋体"/>
        </w:rPr>
        <w:t>4</w:t>
      </w:r>
      <w:r>
        <w:rPr>
          <w:rFonts w:ascii="宋体" w:hAnsi="宋体"/>
        </w:rPr>
        <w:t>.</w:t>
      </w:r>
      <w:r>
        <w:rPr>
          <w:rFonts w:hint="eastAsia" w:ascii="宋体" w:hAnsi="宋体"/>
        </w:rPr>
        <w:t xml:space="preserve"> 我方在此声明，所递交的响应文件及有关资料内容完整、真实和准确。</w:t>
      </w:r>
    </w:p>
    <w:p w14:paraId="4F2F4971">
      <w:pPr>
        <w:spacing w:line="360" w:lineRule="auto"/>
        <w:ind w:firstLine="480" w:firstLineChars="200"/>
        <w:rPr>
          <w:rFonts w:hint="eastAsia" w:ascii="宋体" w:hAnsi="宋体"/>
        </w:rPr>
      </w:pPr>
      <w:r>
        <w:rPr>
          <w:rFonts w:hint="eastAsia" w:ascii="宋体" w:hAnsi="宋体"/>
        </w:rPr>
        <w:t>5</w:t>
      </w:r>
      <w:r>
        <w:rPr>
          <w:rFonts w:ascii="宋体" w:hAnsi="宋体"/>
        </w:rPr>
        <w:t>．其他补充说明：</w:t>
      </w:r>
      <w:r>
        <w:rPr>
          <w:rFonts w:ascii="宋体" w:hAnsi="宋体"/>
          <w:u w:val="single"/>
        </w:rPr>
        <w:t xml:space="preserve">               </w:t>
      </w:r>
      <w:r>
        <w:rPr>
          <w:rFonts w:ascii="宋体" w:hAnsi="宋体"/>
        </w:rPr>
        <w:t>（补充说明事项）</w:t>
      </w:r>
      <w:r>
        <w:rPr>
          <w:rFonts w:hint="eastAsia" w:ascii="宋体" w:hAnsi="宋体"/>
        </w:rPr>
        <w:t>。</w:t>
      </w:r>
    </w:p>
    <w:p w14:paraId="330D9C5C">
      <w:pPr>
        <w:spacing w:line="360" w:lineRule="auto"/>
        <w:rPr>
          <w:rFonts w:hint="eastAsia" w:ascii="宋体" w:hAnsi="宋体"/>
        </w:rPr>
      </w:pPr>
      <w:r>
        <w:rPr>
          <w:rFonts w:hint="eastAsia" w:ascii="宋体" w:hAnsi="宋体"/>
        </w:rPr>
        <w:t>供应商：</w:t>
      </w:r>
      <w:r>
        <w:rPr>
          <w:rFonts w:ascii="宋体" w:hAnsi="宋体"/>
          <w:u w:val="single"/>
        </w:rPr>
        <w:t xml:space="preserve">        </w:t>
      </w:r>
      <w:r>
        <w:rPr>
          <w:rFonts w:hint="eastAsia" w:ascii="宋体" w:hAnsi="宋体"/>
          <w:u w:val="single"/>
        </w:rPr>
        <w:t xml:space="preserve">       (全称、盖章)</w:t>
      </w:r>
      <w:r>
        <w:rPr>
          <w:rFonts w:ascii="宋体" w:hAnsi="宋体"/>
          <w:u w:val="single"/>
        </w:rPr>
        <w:t xml:space="preserve">                        </w:t>
      </w:r>
      <w:r>
        <w:rPr>
          <w:rFonts w:hint="eastAsia" w:ascii="宋体" w:hAnsi="宋体"/>
          <w:u w:val="single"/>
        </w:rPr>
        <w:t xml:space="preserve">         </w:t>
      </w:r>
    </w:p>
    <w:p w14:paraId="06258EE1">
      <w:pPr>
        <w:spacing w:line="360" w:lineRule="auto"/>
        <w:rPr>
          <w:rFonts w:hint="eastAsia" w:ascii="宋体" w:hAnsi="宋体"/>
        </w:rPr>
      </w:pPr>
      <w:r>
        <w:rPr>
          <w:rFonts w:hint="eastAsia" w:ascii="宋体" w:hAnsi="宋体"/>
        </w:rPr>
        <w:t>地址：</w:t>
      </w:r>
      <w:r>
        <w:rPr>
          <w:rFonts w:ascii="宋体" w:hAnsi="宋体"/>
          <w:u w:val="single"/>
        </w:rPr>
        <w:t xml:space="preserve">                        </w:t>
      </w:r>
      <w:r>
        <w:rPr>
          <w:rFonts w:ascii="宋体" w:hAnsi="宋体"/>
        </w:rPr>
        <w:t xml:space="preserve">    </w:t>
      </w:r>
      <w:r>
        <w:rPr>
          <w:rFonts w:hint="eastAsia" w:ascii="宋体" w:hAnsi="宋体"/>
        </w:rPr>
        <w:t>邮编：</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5BFD9C44">
      <w:pPr>
        <w:spacing w:line="360" w:lineRule="auto"/>
        <w:rPr>
          <w:rFonts w:hint="eastAsia" w:ascii="宋体" w:hAnsi="宋体"/>
        </w:rPr>
      </w:pPr>
      <w:r>
        <w:rPr>
          <w:rFonts w:hint="eastAsia" w:ascii="宋体" w:hAnsi="宋体"/>
        </w:rPr>
        <w:t>电话：</w:t>
      </w:r>
      <w:r>
        <w:rPr>
          <w:rFonts w:ascii="宋体" w:hAnsi="宋体"/>
          <w:u w:val="single"/>
        </w:rPr>
        <w:t xml:space="preserve">                        </w:t>
      </w:r>
      <w:r>
        <w:rPr>
          <w:rFonts w:ascii="宋体" w:hAnsi="宋体"/>
        </w:rPr>
        <w:t xml:space="preserve">    </w:t>
      </w:r>
      <w:r>
        <w:rPr>
          <w:rFonts w:hint="eastAsia" w:ascii="宋体" w:hAnsi="宋体"/>
        </w:rPr>
        <w:t>传真：</w:t>
      </w:r>
      <w:r>
        <w:rPr>
          <w:rFonts w:ascii="宋体" w:hAnsi="宋体"/>
          <w:u w:val="single"/>
        </w:rPr>
        <w:t xml:space="preserve">                     </w:t>
      </w:r>
      <w:r>
        <w:rPr>
          <w:rFonts w:hint="eastAsia" w:ascii="宋体" w:hAnsi="宋体"/>
          <w:u w:val="single"/>
        </w:rPr>
        <w:t xml:space="preserve"> </w:t>
      </w:r>
    </w:p>
    <w:p w14:paraId="39E11C64">
      <w:pPr>
        <w:spacing w:line="360" w:lineRule="auto"/>
        <w:rPr>
          <w:rFonts w:hint="eastAsia" w:ascii="宋体" w:hAnsi="宋体"/>
        </w:rPr>
      </w:pPr>
      <w:r>
        <w:rPr>
          <w:rFonts w:hint="eastAsia" w:ascii="宋体" w:hAnsi="宋体"/>
        </w:rPr>
        <w:t>供应商法定代表人或授权代表：</w:t>
      </w:r>
      <w:r>
        <w:rPr>
          <w:rFonts w:ascii="宋体" w:hAnsi="宋体"/>
          <w:u w:val="single"/>
        </w:rPr>
        <w:t xml:space="preserve">           </w:t>
      </w:r>
      <w:r>
        <w:rPr>
          <w:rFonts w:hint="eastAsia" w:ascii="宋体" w:hAnsi="宋体"/>
          <w:u w:val="single"/>
        </w:rPr>
        <w:t>(签字或盖章)</w:t>
      </w:r>
      <w:r>
        <w:rPr>
          <w:rFonts w:ascii="宋体" w:hAnsi="宋体"/>
          <w:u w:val="single"/>
        </w:rPr>
        <w:t xml:space="preserve">          </w:t>
      </w:r>
      <w:r>
        <w:rPr>
          <w:rFonts w:hint="eastAsia" w:ascii="宋体" w:hAnsi="宋体"/>
          <w:u w:val="single"/>
        </w:rPr>
        <w:t xml:space="preserve">       </w:t>
      </w:r>
    </w:p>
    <w:p w14:paraId="39E6E8BA">
      <w:pPr>
        <w:spacing w:before="240" w:beforeLines="100"/>
        <w:ind w:firstLine="429" w:firstLineChars="179"/>
        <w:rPr>
          <w:rFonts w:hint="eastAsia" w:ascii="宋体" w:hAnsi="宋体" w:cs="宋体"/>
          <w:kern w:val="0"/>
        </w:rPr>
      </w:pPr>
      <w:r>
        <w:rPr>
          <w:rFonts w:hint="eastAsia" w:ascii="宋体" w:hAnsi="宋体"/>
        </w:rPr>
        <w:t xml:space="preserve">                            日期：</w:t>
      </w:r>
      <w:r>
        <w:rPr>
          <w:rFonts w:ascii="宋体" w:hAnsi="宋体"/>
          <w:u w:val="single"/>
        </w:rPr>
        <w:t xml:space="preserve">         </w:t>
      </w:r>
      <w:r>
        <w:rPr>
          <w:rFonts w:ascii="宋体" w:hAnsi="宋体"/>
        </w:rPr>
        <w:t xml:space="preserve"> </w:t>
      </w:r>
      <w:r>
        <w:rPr>
          <w:rFonts w:hint="eastAsia" w:ascii="宋体" w:hAnsi="宋体"/>
        </w:rPr>
        <w:t>年</w:t>
      </w:r>
      <w:r>
        <w:rPr>
          <w:rFonts w:ascii="宋体" w:hAnsi="宋体"/>
          <w:u w:val="single"/>
        </w:rPr>
        <w:t xml:space="preserve">     </w:t>
      </w:r>
      <w:r>
        <w:rPr>
          <w:rFonts w:ascii="宋体" w:hAnsi="宋体"/>
        </w:rPr>
        <w:t xml:space="preserve"> </w:t>
      </w:r>
      <w:r>
        <w:rPr>
          <w:rFonts w:hint="eastAsia" w:ascii="宋体" w:hAnsi="宋体"/>
        </w:rPr>
        <w:t>月</w:t>
      </w:r>
      <w:r>
        <w:rPr>
          <w:rFonts w:ascii="宋体" w:hAnsi="宋体"/>
          <w:u w:val="single"/>
        </w:rPr>
        <w:t xml:space="preserve">     </w:t>
      </w:r>
      <w:r>
        <w:rPr>
          <w:rFonts w:hint="eastAsia" w:ascii="宋体" w:hAnsi="宋体"/>
        </w:rPr>
        <w:t>日</w:t>
      </w:r>
    </w:p>
    <w:p w14:paraId="5D9AED0E">
      <w:pPr>
        <w:spacing w:before="240" w:beforeLines="100" w:after="240" w:afterLines="100"/>
        <w:jc w:val="center"/>
        <w:outlineLvl w:val="1"/>
        <w:rPr>
          <w:rFonts w:hint="eastAsia"/>
          <w:b/>
          <w:sz w:val="32"/>
          <w:szCs w:val="32"/>
        </w:rPr>
      </w:pPr>
      <w:r>
        <w:br w:type="page"/>
      </w:r>
      <w:r>
        <w:rPr>
          <w:rFonts w:hint="eastAsia" w:hAnsi="宋体"/>
          <w:b/>
          <w:sz w:val="32"/>
          <w:szCs w:val="32"/>
          <w:lang w:val="en-US" w:eastAsia="zh-CN"/>
        </w:rPr>
        <w:t>二</w:t>
      </w:r>
      <w:r>
        <w:rPr>
          <w:rFonts w:hint="eastAsia" w:hAnsi="宋体"/>
          <w:b/>
          <w:sz w:val="32"/>
          <w:szCs w:val="32"/>
        </w:rPr>
        <w:t>、服务响应偏离表</w:t>
      </w:r>
    </w:p>
    <w:p w14:paraId="40B3CD8A">
      <w:pPr>
        <w:rPr>
          <w:rFonts w:hint="eastAsia"/>
        </w:rPr>
      </w:pPr>
    </w:p>
    <w:tbl>
      <w:tblPr>
        <w:tblStyle w:val="11"/>
        <w:tblW w:w="850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04"/>
        <w:gridCol w:w="2693"/>
        <w:gridCol w:w="2268"/>
        <w:gridCol w:w="1540"/>
      </w:tblGrid>
      <w:tr w14:paraId="417F4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tcBorders>
              <w:top w:val="double" w:color="auto" w:sz="4" w:space="0"/>
            </w:tcBorders>
            <w:vAlign w:val="center"/>
          </w:tcPr>
          <w:p w14:paraId="44D02A72">
            <w:pPr>
              <w:snapToGrid w:val="0"/>
              <w:spacing w:line="400" w:lineRule="exact"/>
              <w:ind w:left="540" w:hanging="540" w:hangingChars="225"/>
              <w:rPr>
                <w:rFonts w:ascii="宋体"/>
              </w:rPr>
            </w:pPr>
            <w:r>
              <w:rPr>
                <w:rFonts w:hint="eastAsia" w:ascii="宋体"/>
              </w:rPr>
              <w:t>比选文件条目号</w:t>
            </w:r>
          </w:p>
        </w:tc>
        <w:tc>
          <w:tcPr>
            <w:tcW w:w="2693" w:type="dxa"/>
            <w:tcBorders>
              <w:top w:val="double" w:color="auto" w:sz="4" w:space="0"/>
            </w:tcBorders>
            <w:vAlign w:val="center"/>
          </w:tcPr>
          <w:p w14:paraId="4562CB2F">
            <w:pPr>
              <w:snapToGrid w:val="0"/>
              <w:spacing w:line="400" w:lineRule="exact"/>
              <w:rPr>
                <w:rFonts w:ascii="宋体"/>
              </w:rPr>
            </w:pPr>
            <w:r>
              <w:rPr>
                <w:rFonts w:hint="eastAsia" w:ascii="宋体"/>
              </w:rPr>
              <w:t>比选文件服务需求的内容与数值</w:t>
            </w:r>
          </w:p>
        </w:tc>
        <w:tc>
          <w:tcPr>
            <w:tcW w:w="2268" w:type="dxa"/>
            <w:tcBorders>
              <w:top w:val="double" w:color="auto" w:sz="4" w:space="0"/>
            </w:tcBorders>
            <w:vAlign w:val="center"/>
          </w:tcPr>
          <w:p w14:paraId="7C346E09">
            <w:pPr>
              <w:snapToGrid w:val="0"/>
              <w:spacing w:line="400" w:lineRule="exact"/>
              <w:rPr>
                <w:rFonts w:ascii="宋体"/>
              </w:rPr>
            </w:pPr>
            <w:r>
              <w:rPr>
                <w:rFonts w:hint="eastAsia" w:ascii="宋体"/>
              </w:rPr>
              <w:t>参选人响应内容与数值</w:t>
            </w:r>
          </w:p>
        </w:tc>
        <w:tc>
          <w:tcPr>
            <w:tcW w:w="1540" w:type="dxa"/>
            <w:tcBorders>
              <w:top w:val="double" w:color="auto" w:sz="4" w:space="0"/>
            </w:tcBorders>
            <w:vAlign w:val="center"/>
          </w:tcPr>
          <w:p w14:paraId="20C46235">
            <w:pPr>
              <w:snapToGrid w:val="0"/>
              <w:spacing w:line="400" w:lineRule="exact"/>
              <w:ind w:left="540" w:leftChars="150" w:hanging="180" w:hangingChars="75"/>
              <w:rPr>
                <w:rFonts w:ascii="宋体"/>
              </w:rPr>
            </w:pPr>
            <w:r>
              <w:rPr>
                <w:rFonts w:hint="eastAsia" w:ascii="宋体"/>
              </w:rPr>
              <w:t>备注</w:t>
            </w:r>
          </w:p>
          <w:p w14:paraId="08246156">
            <w:pPr>
              <w:snapToGrid w:val="0"/>
              <w:spacing w:line="400" w:lineRule="exact"/>
              <w:ind w:left="540" w:hanging="540" w:hangingChars="225"/>
              <w:rPr>
                <w:rFonts w:ascii="宋体"/>
              </w:rPr>
            </w:pPr>
            <w:r>
              <w:rPr>
                <w:rFonts w:ascii="宋体"/>
              </w:rPr>
              <w:t>(</w:t>
            </w:r>
            <w:r>
              <w:rPr>
                <w:rFonts w:hint="eastAsia" w:ascii="宋体"/>
              </w:rPr>
              <w:t>偏差说明</w:t>
            </w:r>
            <w:r>
              <w:rPr>
                <w:rFonts w:ascii="宋体"/>
              </w:rPr>
              <w:t>)</w:t>
            </w:r>
          </w:p>
        </w:tc>
      </w:tr>
      <w:tr w14:paraId="16B29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2BC96FA8">
            <w:pPr>
              <w:snapToGrid w:val="0"/>
              <w:spacing w:line="400" w:lineRule="exact"/>
              <w:ind w:left="540" w:hanging="540" w:hangingChars="225"/>
              <w:rPr>
                <w:rFonts w:ascii="宋体"/>
              </w:rPr>
            </w:pPr>
          </w:p>
        </w:tc>
        <w:tc>
          <w:tcPr>
            <w:tcW w:w="2693" w:type="dxa"/>
            <w:vAlign w:val="center"/>
          </w:tcPr>
          <w:p w14:paraId="6491210D">
            <w:pPr>
              <w:snapToGrid w:val="0"/>
              <w:spacing w:line="400" w:lineRule="exact"/>
              <w:ind w:left="540" w:hanging="540" w:hangingChars="225"/>
              <w:rPr>
                <w:rFonts w:ascii="宋体"/>
              </w:rPr>
            </w:pPr>
          </w:p>
        </w:tc>
        <w:tc>
          <w:tcPr>
            <w:tcW w:w="2268" w:type="dxa"/>
            <w:vAlign w:val="center"/>
          </w:tcPr>
          <w:p w14:paraId="57B32834">
            <w:pPr>
              <w:snapToGrid w:val="0"/>
              <w:spacing w:line="400" w:lineRule="exact"/>
              <w:ind w:left="540" w:hanging="540" w:hangingChars="225"/>
              <w:rPr>
                <w:rFonts w:ascii="宋体"/>
              </w:rPr>
            </w:pPr>
          </w:p>
        </w:tc>
        <w:tc>
          <w:tcPr>
            <w:tcW w:w="1540" w:type="dxa"/>
            <w:vAlign w:val="center"/>
          </w:tcPr>
          <w:p w14:paraId="2FB6110B">
            <w:pPr>
              <w:snapToGrid w:val="0"/>
              <w:spacing w:line="400" w:lineRule="exact"/>
              <w:ind w:left="540" w:hanging="540" w:hangingChars="225"/>
              <w:rPr>
                <w:rFonts w:ascii="宋体"/>
              </w:rPr>
            </w:pPr>
          </w:p>
        </w:tc>
      </w:tr>
      <w:tr w14:paraId="147EA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209303DC">
            <w:pPr>
              <w:snapToGrid w:val="0"/>
              <w:spacing w:line="400" w:lineRule="exact"/>
              <w:ind w:left="540" w:hanging="540" w:hangingChars="225"/>
              <w:rPr>
                <w:rFonts w:ascii="宋体"/>
              </w:rPr>
            </w:pPr>
          </w:p>
        </w:tc>
        <w:tc>
          <w:tcPr>
            <w:tcW w:w="2693" w:type="dxa"/>
            <w:vAlign w:val="center"/>
          </w:tcPr>
          <w:p w14:paraId="533074C0">
            <w:pPr>
              <w:snapToGrid w:val="0"/>
              <w:spacing w:line="400" w:lineRule="exact"/>
              <w:ind w:left="540" w:hanging="540" w:hangingChars="225"/>
              <w:rPr>
                <w:rFonts w:ascii="宋体"/>
              </w:rPr>
            </w:pPr>
          </w:p>
        </w:tc>
        <w:tc>
          <w:tcPr>
            <w:tcW w:w="2268" w:type="dxa"/>
            <w:vAlign w:val="center"/>
          </w:tcPr>
          <w:p w14:paraId="1C68E7E2">
            <w:pPr>
              <w:snapToGrid w:val="0"/>
              <w:spacing w:line="400" w:lineRule="exact"/>
              <w:ind w:left="540" w:hanging="540" w:hangingChars="225"/>
              <w:rPr>
                <w:rFonts w:ascii="宋体"/>
              </w:rPr>
            </w:pPr>
          </w:p>
        </w:tc>
        <w:tc>
          <w:tcPr>
            <w:tcW w:w="1540" w:type="dxa"/>
            <w:vAlign w:val="center"/>
          </w:tcPr>
          <w:p w14:paraId="3C1188A5">
            <w:pPr>
              <w:snapToGrid w:val="0"/>
              <w:spacing w:line="400" w:lineRule="exact"/>
              <w:ind w:left="540" w:hanging="540" w:hangingChars="225"/>
              <w:rPr>
                <w:rFonts w:ascii="宋体"/>
              </w:rPr>
            </w:pPr>
          </w:p>
        </w:tc>
      </w:tr>
      <w:tr w14:paraId="08242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39302A73">
            <w:pPr>
              <w:snapToGrid w:val="0"/>
              <w:spacing w:line="400" w:lineRule="exact"/>
              <w:ind w:left="540" w:hanging="540" w:hangingChars="225"/>
              <w:rPr>
                <w:rFonts w:ascii="宋体"/>
              </w:rPr>
            </w:pPr>
          </w:p>
        </w:tc>
        <w:tc>
          <w:tcPr>
            <w:tcW w:w="2693" w:type="dxa"/>
            <w:vAlign w:val="center"/>
          </w:tcPr>
          <w:p w14:paraId="155D4A99">
            <w:pPr>
              <w:snapToGrid w:val="0"/>
              <w:spacing w:line="400" w:lineRule="exact"/>
              <w:ind w:left="540" w:hanging="540" w:hangingChars="225"/>
              <w:rPr>
                <w:rFonts w:ascii="宋体"/>
              </w:rPr>
            </w:pPr>
          </w:p>
        </w:tc>
        <w:tc>
          <w:tcPr>
            <w:tcW w:w="2268" w:type="dxa"/>
            <w:vAlign w:val="center"/>
          </w:tcPr>
          <w:p w14:paraId="18C0D862">
            <w:pPr>
              <w:snapToGrid w:val="0"/>
              <w:spacing w:line="400" w:lineRule="exact"/>
              <w:ind w:left="540" w:hanging="540" w:hangingChars="225"/>
              <w:rPr>
                <w:rFonts w:ascii="宋体"/>
              </w:rPr>
            </w:pPr>
          </w:p>
        </w:tc>
        <w:tc>
          <w:tcPr>
            <w:tcW w:w="1540" w:type="dxa"/>
            <w:vAlign w:val="center"/>
          </w:tcPr>
          <w:p w14:paraId="27CCC32F">
            <w:pPr>
              <w:snapToGrid w:val="0"/>
              <w:spacing w:line="400" w:lineRule="exact"/>
              <w:ind w:left="540" w:hanging="540" w:hangingChars="225"/>
              <w:rPr>
                <w:rFonts w:ascii="宋体"/>
              </w:rPr>
            </w:pPr>
          </w:p>
        </w:tc>
      </w:tr>
      <w:tr w14:paraId="4D317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2D6D68DC">
            <w:pPr>
              <w:snapToGrid w:val="0"/>
              <w:spacing w:line="400" w:lineRule="exact"/>
              <w:ind w:left="540" w:hanging="540" w:hangingChars="225"/>
              <w:rPr>
                <w:rFonts w:ascii="宋体"/>
              </w:rPr>
            </w:pPr>
          </w:p>
        </w:tc>
        <w:tc>
          <w:tcPr>
            <w:tcW w:w="2693" w:type="dxa"/>
            <w:vAlign w:val="center"/>
          </w:tcPr>
          <w:p w14:paraId="34DCCD1D">
            <w:pPr>
              <w:snapToGrid w:val="0"/>
              <w:spacing w:line="400" w:lineRule="exact"/>
              <w:ind w:left="540" w:hanging="540" w:hangingChars="225"/>
              <w:rPr>
                <w:rFonts w:ascii="宋体"/>
              </w:rPr>
            </w:pPr>
          </w:p>
        </w:tc>
        <w:tc>
          <w:tcPr>
            <w:tcW w:w="2268" w:type="dxa"/>
            <w:vAlign w:val="center"/>
          </w:tcPr>
          <w:p w14:paraId="29C66073">
            <w:pPr>
              <w:snapToGrid w:val="0"/>
              <w:spacing w:line="400" w:lineRule="exact"/>
              <w:ind w:left="540" w:hanging="540" w:hangingChars="225"/>
              <w:rPr>
                <w:rFonts w:ascii="宋体"/>
              </w:rPr>
            </w:pPr>
          </w:p>
        </w:tc>
        <w:tc>
          <w:tcPr>
            <w:tcW w:w="1540" w:type="dxa"/>
            <w:vAlign w:val="center"/>
          </w:tcPr>
          <w:p w14:paraId="02114DB3">
            <w:pPr>
              <w:snapToGrid w:val="0"/>
              <w:spacing w:line="400" w:lineRule="exact"/>
              <w:ind w:left="540" w:hanging="540" w:hangingChars="225"/>
              <w:rPr>
                <w:rFonts w:ascii="宋体"/>
              </w:rPr>
            </w:pPr>
          </w:p>
        </w:tc>
      </w:tr>
      <w:tr w14:paraId="736CF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2A16332C">
            <w:pPr>
              <w:snapToGrid w:val="0"/>
              <w:spacing w:line="400" w:lineRule="exact"/>
              <w:ind w:left="540" w:hanging="540" w:hangingChars="225"/>
              <w:rPr>
                <w:rFonts w:ascii="宋体"/>
              </w:rPr>
            </w:pPr>
          </w:p>
        </w:tc>
        <w:tc>
          <w:tcPr>
            <w:tcW w:w="2693" w:type="dxa"/>
            <w:vAlign w:val="center"/>
          </w:tcPr>
          <w:p w14:paraId="782DE26F">
            <w:pPr>
              <w:snapToGrid w:val="0"/>
              <w:spacing w:line="400" w:lineRule="exact"/>
              <w:ind w:left="540" w:hanging="540" w:hangingChars="225"/>
              <w:rPr>
                <w:rFonts w:ascii="宋体"/>
              </w:rPr>
            </w:pPr>
          </w:p>
        </w:tc>
        <w:tc>
          <w:tcPr>
            <w:tcW w:w="2268" w:type="dxa"/>
            <w:vAlign w:val="center"/>
          </w:tcPr>
          <w:p w14:paraId="51E72898">
            <w:pPr>
              <w:snapToGrid w:val="0"/>
              <w:spacing w:line="400" w:lineRule="exact"/>
              <w:ind w:left="540" w:hanging="540" w:hangingChars="225"/>
              <w:rPr>
                <w:rFonts w:ascii="宋体"/>
              </w:rPr>
            </w:pPr>
          </w:p>
        </w:tc>
        <w:tc>
          <w:tcPr>
            <w:tcW w:w="1540" w:type="dxa"/>
            <w:vAlign w:val="center"/>
          </w:tcPr>
          <w:p w14:paraId="333CC27B">
            <w:pPr>
              <w:snapToGrid w:val="0"/>
              <w:spacing w:line="400" w:lineRule="exact"/>
              <w:ind w:left="540" w:hanging="540" w:hangingChars="225"/>
              <w:rPr>
                <w:rFonts w:ascii="宋体"/>
              </w:rPr>
            </w:pPr>
          </w:p>
        </w:tc>
      </w:tr>
      <w:tr w14:paraId="2303A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536D8223">
            <w:pPr>
              <w:snapToGrid w:val="0"/>
              <w:spacing w:line="400" w:lineRule="exact"/>
              <w:ind w:left="540" w:hanging="540" w:hangingChars="225"/>
              <w:rPr>
                <w:rFonts w:ascii="宋体"/>
              </w:rPr>
            </w:pPr>
          </w:p>
        </w:tc>
        <w:tc>
          <w:tcPr>
            <w:tcW w:w="2693" w:type="dxa"/>
            <w:vAlign w:val="center"/>
          </w:tcPr>
          <w:p w14:paraId="2D468DB4">
            <w:pPr>
              <w:snapToGrid w:val="0"/>
              <w:spacing w:line="400" w:lineRule="exact"/>
              <w:ind w:left="540" w:hanging="540" w:hangingChars="225"/>
              <w:rPr>
                <w:rFonts w:ascii="宋体"/>
              </w:rPr>
            </w:pPr>
          </w:p>
        </w:tc>
        <w:tc>
          <w:tcPr>
            <w:tcW w:w="2268" w:type="dxa"/>
            <w:vAlign w:val="center"/>
          </w:tcPr>
          <w:p w14:paraId="02D926C9">
            <w:pPr>
              <w:snapToGrid w:val="0"/>
              <w:spacing w:line="400" w:lineRule="exact"/>
              <w:ind w:left="540" w:hanging="540" w:hangingChars="225"/>
              <w:rPr>
                <w:rFonts w:ascii="宋体"/>
              </w:rPr>
            </w:pPr>
          </w:p>
        </w:tc>
        <w:tc>
          <w:tcPr>
            <w:tcW w:w="1540" w:type="dxa"/>
            <w:vAlign w:val="center"/>
          </w:tcPr>
          <w:p w14:paraId="06A465E8">
            <w:pPr>
              <w:snapToGrid w:val="0"/>
              <w:spacing w:line="400" w:lineRule="exact"/>
              <w:ind w:left="540" w:hanging="540" w:hangingChars="225"/>
              <w:rPr>
                <w:rFonts w:ascii="宋体"/>
              </w:rPr>
            </w:pPr>
          </w:p>
        </w:tc>
      </w:tr>
      <w:tr w14:paraId="30C5B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7515D0F0">
            <w:pPr>
              <w:snapToGrid w:val="0"/>
              <w:spacing w:line="400" w:lineRule="exact"/>
              <w:ind w:left="540" w:hanging="540" w:hangingChars="225"/>
              <w:rPr>
                <w:rFonts w:ascii="宋体"/>
              </w:rPr>
            </w:pPr>
          </w:p>
        </w:tc>
        <w:tc>
          <w:tcPr>
            <w:tcW w:w="2693" w:type="dxa"/>
            <w:vAlign w:val="center"/>
          </w:tcPr>
          <w:p w14:paraId="460488FD">
            <w:pPr>
              <w:snapToGrid w:val="0"/>
              <w:spacing w:line="400" w:lineRule="exact"/>
              <w:ind w:left="540" w:hanging="540" w:hangingChars="225"/>
              <w:rPr>
                <w:rFonts w:ascii="宋体"/>
              </w:rPr>
            </w:pPr>
          </w:p>
        </w:tc>
        <w:tc>
          <w:tcPr>
            <w:tcW w:w="2268" w:type="dxa"/>
            <w:vAlign w:val="center"/>
          </w:tcPr>
          <w:p w14:paraId="2E8C7F82">
            <w:pPr>
              <w:snapToGrid w:val="0"/>
              <w:spacing w:line="400" w:lineRule="exact"/>
              <w:ind w:left="540" w:hanging="540" w:hangingChars="225"/>
              <w:rPr>
                <w:rFonts w:ascii="宋体"/>
              </w:rPr>
            </w:pPr>
          </w:p>
        </w:tc>
        <w:tc>
          <w:tcPr>
            <w:tcW w:w="1540" w:type="dxa"/>
            <w:vAlign w:val="center"/>
          </w:tcPr>
          <w:p w14:paraId="643CA4DB">
            <w:pPr>
              <w:snapToGrid w:val="0"/>
              <w:spacing w:line="400" w:lineRule="exact"/>
              <w:ind w:left="540" w:hanging="540" w:hangingChars="225"/>
              <w:rPr>
                <w:rFonts w:ascii="宋体"/>
              </w:rPr>
            </w:pPr>
          </w:p>
        </w:tc>
      </w:tr>
      <w:tr w14:paraId="6544C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vAlign w:val="center"/>
          </w:tcPr>
          <w:p w14:paraId="6FBF5DA5">
            <w:pPr>
              <w:snapToGrid w:val="0"/>
              <w:spacing w:line="400" w:lineRule="exact"/>
              <w:ind w:left="540" w:hanging="540" w:hangingChars="225"/>
              <w:rPr>
                <w:rFonts w:ascii="宋体"/>
              </w:rPr>
            </w:pPr>
          </w:p>
        </w:tc>
        <w:tc>
          <w:tcPr>
            <w:tcW w:w="2693" w:type="dxa"/>
            <w:vAlign w:val="center"/>
          </w:tcPr>
          <w:p w14:paraId="7BFF401B">
            <w:pPr>
              <w:snapToGrid w:val="0"/>
              <w:spacing w:line="400" w:lineRule="exact"/>
              <w:ind w:left="540" w:hanging="540" w:hangingChars="225"/>
              <w:rPr>
                <w:rFonts w:ascii="宋体"/>
              </w:rPr>
            </w:pPr>
          </w:p>
        </w:tc>
        <w:tc>
          <w:tcPr>
            <w:tcW w:w="2268" w:type="dxa"/>
            <w:vAlign w:val="center"/>
          </w:tcPr>
          <w:p w14:paraId="4B255C24">
            <w:pPr>
              <w:snapToGrid w:val="0"/>
              <w:spacing w:line="400" w:lineRule="exact"/>
              <w:ind w:left="540" w:hanging="540" w:hangingChars="225"/>
              <w:rPr>
                <w:rFonts w:ascii="宋体"/>
              </w:rPr>
            </w:pPr>
          </w:p>
        </w:tc>
        <w:tc>
          <w:tcPr>
            <w:tcW w:w="1540" w:type="dxa"/>
            <w:vAlign w:val="center"/>
          </w:tcPr>
          <w:p w14:paraId="70B271C8">
            <w:pPr>
              <w:snapToGrid w:val="0"/>
              <w:spacing w:line="400" w:lineRule="exact"/>
              <w:ind w:left="540" w:hanging="540" w:hangingChars="225"/>
              <w:rPr>
                <w:rFonts w:ascii="宋体"/>
              </w:rPr>
            </w:pPr>
          </w:p>
        </w:tc>
      </w:tr>
      <w:tr w14:paraId="2AC99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004" w:type="dxa"/>
            <w:tcBorders>
              <w:bottom w:val="double" w:color="auto" w:sz="4" w:space="0"/>
            </w:tcBorders>
            <w:vAlign w:val="center"/>
          </w:tcPr>
          <w:p w14:paraId="339CE1DE">
            <w:pPr>
              <w:snapToGrid w:val="0"/>
              <w:spacing w:line="400" w:lineRule="exact"/>
              <w:ind w:left="540" w:hanging="540" w:hangingChars="225"/>
              <w:rPr>
                <w:rFonts w:ascii="宋体"/>
              </w:rPr>
            </w:pPr>
          </w:p>
        </w:tc>
        <w:tc>
          <w:tcPr>
            <w:tcW w:w="2693" w:type="dxa"/>
            <w:tcBorders>
              <w:bottom w:val="double" w:color="auto" w:sz="4" w:space="0"/>
            </w:tcBorders>
            <w:vAlign w:val="center"/>
          </w:tcPr>
          <w:p w14:paraId="7ACFD776">
            <w:pPr>
              <w:snapToGrid w:val="0"/>
              <w:spacing w:line="400" w:lineRule="exact"/>
              <w:ind w:left="540" w:hanging="540" w:hangingChars="225"/>
              <w:rPr>
                <w:rFonts w:ascii="宋体"/>
              </w:rPr>
            </w:pPr>
          </w:p>
        </w:tc>
        <w:tc>
          <w:tcPr>
            <w:tcW w:w="2268" w:type="dxa"/>
            <w:tcBorders>
              <w:bottom w:val="double" w:color="auto" w:sz="4" w:space="0"/>
            </w:tcBorders>
            <w:vAlign w:val="center"/>
          </w:tcPr>
          <w:p w14:paraId="238E54EC">
            <w:pPr>
              <w:snapToGrid w:val="0"/>
              <w:spacing w:line="400" w:lineRule="exact"/>
              <w:ind w:left="540" w:hanging="540" w:hangingChars="225"/>
              <w:rPr>
                <w:rFonts w:ascii="宋体"/>
              </w:rPr>
            </w:pPr>
          </w:p>
        </w:tc>
        <w:tc>
          <w:tcPr>
            <w:tcW w:w="1540" w:type="dxa"/>
            <w:tcBorders>
              <w:bottom w:val="double" w:color="auto" w:sz="4" w:space="0"/>
            </w:tcBorders>
            <w:vAlign w:val="center"/>
          </w:tcPr>
          <w:p w14:paraId="04D98B82">
            <w:pPr>
              <w:snapToGrid w:val="0"/>
              <w:spacing w:line="400" w:lineRule="exact"/>
              <w:ind w:left="540" w:hanging="540" w:hangingChars="225"/>
              <w:rPr>
                <w:rFonts w:ascii="宋体"/>
              </w:rPr>
            </w:pPr>
          </w:p>
        </w:tc>
      </w:tr>
    </w:tbl>
    <w:p w14:paraId="69D78E8E">
      <w:pPr>
        <w:snapToGrid w:val="0"/>
        <w:spacing w:line="400" w:lineRule="exact"/>
        <w:ind w:firstLine="480" w:firstLineChars="200"/>
        <w:rPr>
          <w:rFonts w:hint="eastAsia" w:ascii="宋体" w:hAnsi="宋体"/>
        </w:rPr>
      </w:pPr>
      <w:r>
        <w:rPr>
          <w:rFonts w:hint="eastAsia" w:ascii="宋体" w:hAnsi="宋体"/>
        </w:rPr>
        <w:t>注：</w:t>
      </w:r>
    </w:p>
    <w:p w14:paraId="5C436AD9">
      <w:pPr>
        <w:tabs>
          <w:tab w:val="left" w:pos="1080"/>
        </w:tabs>
        <w:snapToGrid w:val="0"/>
        <w:spacing w:line="400" w:lineRule="exact"/>
        <w:ind w:firstLine="480" w:firstLineChars="200"/>
        <w:rPr>
          <w:rFonts w:hint="eastAsia" w:ascii="宋体" w:hAnsi="宋体"/>
        </w:rPr>
      </w:pPr>
      <w:r>
        <w:rPr>
          <w:rFonts w:ascii="宋体" w:hAnsi="宋体"/>
        </w:rPr>
        <w:t>1.</w:t>
      </w:r>
      <w:r>
        <w:rPr>
          <w:rFonts w:hint="eastAsia" w:ascii="宋体" w:hAnsi="宋体"/>
        </w:rPr>
        <w:t>参选人应针对比选文件第三章服务需求的要求，只须在本表上填写响应有偏离的条款，如无偏离，可不填写此表，视为参选人完全响应比选文件的技术或服务条款。</w:t>
      </w:r>
    </w:p>
    <w:p w14:paraId="1EFB109F">
      <w:pPr>
        <w:snapToGrid w:val="0"/>
        <w:spacing w:line="400" w:lineRule="exact"/>
        <w:ind w:firstLine="480" w:firstLineChars="200"/>
        <w:rPr>
          <w:rFonts w:hint="eastAsia" w:ascii="宋体" w:hAnsi="宋体"/>
        </w:rPr>
      </w:pPr>
      <w:r>
        <w:rPr>
          <w:rFonts w:ascii="宋体" w:hAnsi="宋体"/>
        </w:rPr>
        <w:t>2.</w:t>
      </w:r>
      <w:r>
        <w:rPr>
          <w:rFonts w:hint="eastAsia" w:ascii="宋体" w:hAnsi="宋体"/>
        </w:rPr>
        <w:t>除比选文件第三章服务需求中的技术或服务</w:t>
      </w:r>
      <w:r>
        <w:rPr>
          <w:rFonts w:ascii="宋体" w:hAnsi="宋体"/>
        </w:rPr>
        <w:t>需求</w:t>
      </w:r>
      <w:r>
        <w:rPr>
          <w:rFonts w:hint="eastAsia" w:ascii="宋体" w:hAnsi="宋体"/>
        </w:rPr>
        <w:t>以外，参选服务有超出比选要求的</w:t>
      </w:r>
      <w:r>
        <w:rPr>
          <w:rFonts w:hint="eastAsia" w:hAnsi="宋体" w:cs="宋体"/>
        </w:rPr>
        <w:t>技术或服务</w:t>
      </w:r>
      <w:r>
        <w:rPr>
          <w:rFonts w:hint="eastAsia" w:ascii="宋体" w:hAnsi="宋体"/>
        </w:rPr>
        <w:t>内容，也可在本表列明。</w:t>
      </w:r>
    </w:p>
    <w:p w14:paraId="5C388870">
      <w:pPr>
        <w:snapToGrid w:val="0"/>
        <w:spacing w:line="400" w:lineRule="exact"/>
        <w:ind w:firstLine="480" w:firstLineChars="200"/>
        <w:rPr>
          <w:rFonts w:ascii="宋体"/>
        </w:rPr>
      </w:pPr>
    </w:p>
    <w:p w14:paraId="6C3BDBAA">
      <w:pPr>
        <w:snapToGrid w:val="0"/>
        <w:spacing w:line="400" w:lineRule="exact"/>
        <w:ind w:firstLine="480" w:firstLineChars="200"/>
        <w:rPr>
          <w:rFonts w:ascii="宋体"/>
        </w:rPr>
      </w:pPr>
    </w:p>
    <w:p w14:paraId="46B58828">
      <w:pPr>
        <w:pStyle w:val="6"/>
        <w:snapToGrid w:val="0"/>
        <w:spacing w:line="400" w:lineRule="exact"/>
        <w:ind w:firstLine="240" w:firstLineChars="100"/>
        <w:rPr>
          <w:rFonts w:hint="eastAsia" w:hAnsi="宋体"/>
          <w:szCs w:val="24"/>
        </w:rPr>
      </w:pPr>
      <w:r>
        <w:rPr>
          <w:rFonts w:hint="eastAsia" w:hAnsi="宋体"/>
          <w:szCs w:val="24"/>
        </w:rPr>
        <w:t>供应商名称：                （单位公章）</w:t>
      </w:r>
    </w:p>
    <w:p w14:paraId="728DD0AD">
      <w:pPr>
        <w:pStyle w:val="6"/>
        <w:snapToGrid w:val="0"/>
        <w:spacing w:line="400" w:lineRule="exact"/>
        <w:rPr>
          <w:rFonts w:hint="eastAsia" w:hAnsi="宋体"/>
          <w:szCs w:val="24"/>
        </w:rPr>
      </w:pPr>
    </w:p>
    <w:p w14:paraId="070DFF7B">
      <w:pPr>
        <w:pStyle w:val="6"/>
        <w:snapToGrid w:val="0"/>
        <w:spacing w:line="400" w:lineRule="exact"/>
        <w:ind w:firstLine="240" w:firstLineChars="100"/>
        <w:rPr>
          <w:rFonts w:hint="eastAsia" w:hAnsi="宋体"/>
          <w:szCs w:val="24"/>
        </w:rPr>
      </w:pPr>
      <w:r>
        <w:rPr>
          <w:rFonts w:hint="eastAsia" w:hAnsi="宋体"/>
          <w:szCs w:val="24"/>
        </w:rPr>
        <w:t xml:space="preserve">供应商法定代表人或其授权代表：      </w:t>
      </w:r>
      <w:r>
        <w:rPr>
          <w:rFonts w:hAnsi="宋体"/>
          <w:szCs w:val="24"/>
        </w:rPr>
        <w:t xml:space="preserve">  </w:t>
      </w:r>
      <w:r>
        <w:rPr>
          <w:rFonts w:hint="eastAsia" w:hAnsi="宋体"/>
          <w:szCs w:val="24"/>
        </w:rPr>
        <w:t>（签字）</w:t>
      </w:r>
    </w:p>
    <w:p w14:paraId="6C1D3F83">
      <w:pPr>
        <w:pStyle w:val="6"/>
        <w:snapToGrid w:val="0"/>
        <w:spacing w:line="400" w:lineRule="exact"/>
        <w:rPr>
          <w:rFonts w:hint="eastAsia" w:hAnsi="宋体"/>
          <w:szCs w:val="24"/>
        </w:rPr>
      </w:pPr>
    </w:p>
    <w:p w14:paraId="0294A89B">
      <w:pPr>
        <w:ind w:firstLine="240" w:firstLineChars="100"/>
        <w:rPr>
          <w:rFonts w:hAnsi="宋体"/>
        </w:rPr>
      </w:pPr>
      <w:r>
        <w:rPr>
          <w:rFonts w:hint="eastAsia" w:hAnsi="宋体"/>
        </w:rPr>
        <w:t>日期：</w:t>
      </w:r>
      <w:r>
        <w:rPr>
          <w:rFonts w:hAnsi="宋体"/>
        </w:rPr>
        <w:t xml:space="preserve">      </w:t>
      </w:r>
    </w:p>
    <w:p w14:paraId="3F6F5EEB">
      <w:pPr>
        <w:ind w:firstLine="240" w:firstLineChars="100"/>
        <w:rPr>
          <w:rFonts w:hAnsi="宋体"/>
        </w:rPr>
      </w:pPr>
    </w:p>
    <w:p w14:paraId="5E3CC73B">
      <w:pPr>
        <w:ind w:firstLine="240" w:firstLineChars="100"/>
        <w:rPr>
          <w:rFonts w:hAnsi="宋体"/>
        </w:rPr>
      </w:pPr>
    </w:p>
    <w:p w14:paraId="1E7C788C">
      <w:pPr>
        <w:ind w:firstLine="240" w:firstLineChars="100"/>
        <w:rPr>
          <w:rFonts w:hAnsi="宋体"/>
        </w:rPr>
      </w:pPr>
    </w:p>
    <w:p w14:paraId="7289769F">
      <w:pPr>
        <w:ind w:firstLine="240" w:firstLineChars="100"/>
        <w:rPr>
          <w:rFonts w:hAnsi="宋体"/>
        </w:rPr>
      </w:pPr>
    </w:p>
    <w:p w14:paraId="021FCF17">
      <w:pPr>
        <w:ind w:firstLine="240" w:firstLineChars="100"/>
        <w:rPr>
          <w:rFonts w:hAnsi="宋体"/>
        </w:rPr>
      </w:pPr>
    </w:p>
    <w:p w14:paraId="1F319EB1">
      <w:pPr>
        <w:spacing w:before="240" w:beforeLines="100" w:after="240" w:afterLines="100"/>
        <w:jc w:val="center"/>
        <w:outlineLvl w:val="1"/>
        <w:rPr>
          <w:rFonts w:hint="eastAsia"/>
          <w:b/>
          <w:sz w:val="32"/>
          <w:szCs w:val="32"/>
        </w:rPr>
      </w:pPr>
      <w:r>
        <w:rPr>
          <w:rFonts w:hint="eastAsia" w:hAnsi="宋体"/>
          <w:b/>
          <w:sz w:val="32"/>
          <w:szCs w:val="32"/>
          <w:lang w:val="en-US" w:eastAsia="zh-CN"/>
        </w:rPr>
        <w:t>三</w:t>
      </w:r>
      <w:r>
        <w:rPr>
          <w:rFonts w:hint="eastAsia" w:hAnsi="宋体"/>
          <w:b/>
          <w:sz w:val="32"/>
          <w:szCs w:val="32"/>
        </w:rPr>
        <w:t>、参与响应应提供的其他资料</w:t>
      </w:r>
    </w:p>
    <w:p w14:paraId="617F377D">
      <w:pPr>
        <w:ind w:firstLine="240" w:firstLineChars="100"/>
        <w:rPr>
          <w:rFonts w:hint="eastAsia" w:ascii="宋体" w:hAnsi="宋体"/>
        </w:rPr>
      </w:pPr>
      <w:r>
        <w:rPr>
          <w:rFonts w:hint="eastAsia" w:ascii="宋体" w:hAnsi="宋体"/>
        </w:rPr>
        <w:t>比选文件未提供的格式由参选人自行编写。</w:t>
      </w:r>
    </w:p>
    <w:p w14:paraId="46F7B378"/>
    <w:sectPr>
      <w:headerReference r:id="rId11" w:type="default"/>
      <w:pgSz w:w="11906" w:h="16838"/>
      <w:pgMar w:top="1440" w:right="1800" w:bottom="1440" w:left="1800" w:header="567" w:footer="850" w:gutter="0"/>
      <w:pgNumType w:fmt="numberInDash"/>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BEEF">
    <w:pPr>
      <w:pStyle w:val="7"/>
      <w:jc w:val="center"/>
    </w:pPr>
    <w:r>
      <w:fldChar w:fldCharType="begin"/>
    </w:r>
    <w:r>
      <w:instrText xml:space="preserve">PAGE   \* MERGEFORMAT</w:instrText>
    </w:r>
    <w:r>
      <w:fldChar w:fldCharType="separate"/>
    </w:r>
    <w:r>
      <w:rPr>
        <w:lang w:val="zh-CN"/>
      </w:rPr>
      <w:t>-</w:t>
    </w:r>
    <w:r>
      <w:t xml:space="preserve"> 13 -</w:t>
    </w:r>
    <w:r>
      <w:fldChar w:fldCharType="end"/>
    </w:r>
  </w:p>
  <w:p w14:paraId="748A53E0">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16B1">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24</w:t>
    </w:r>
    <w:r>
      <w:fldChar w:fldCharType="end"/>
    </w:r>
  </w:p>
  <w:p w14:paraId="18AD7F0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3167">
    <w:pPr>
      <w:spacing w:before="120" w:beforeLines="50" w:after="120" w:afterLines="50" w:line="460" w:lineRule="exact"/>
      <w:ind w:left="5" w:leftChars="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E7AB">
    <w:pPr>
      <w:tabs>
        <w:tab w:val="left" w:pos="7371"/>
      </w:tabs>
      <w:spacing w:before="120" w:beforeLines="50" w:after="120" w:afterLines="50" w:line="460" w:lineRule="exact"/>
      <w:ind w:left="5" w:leftChars="2" w:firstLine="1320" w:firstLineChars="600"/>
      <w:rPr>
        <w:spacing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B791">
    <w:pPr>
      <w:tabs>
        <w:tab w:val="left" w:pos="7371"/>
      </w:tabs>
      <w:spacing w:before="120" w:beforeLines="50" w:after="120" w:afterLines="50" w:line="460" w:lineRule="exact"/>
      <w:ind w:left="5" w:leftChars="-236" w:hanging="571" w:hangingChars="301"/>
      <w:jc w:val="center"/>
      <w:rPr>
        <w:rFonts w:hAnsi="宋体"/>
        <w:spacing w:val="-10"/>
        <w:sz w:val="21"/>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277E">
    <w:pPr>
      <w:pStyle w:val="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9829">
    <w:pPr>
      <w:tabs>
        <w:tab w:val="left" w:pos="7371"/>
      </w:tabs>
      <w:spacing w:before="120" w:beforeLines="50" w:after="120" w:afterLines="50" w:line="460" w:lineRule="exact"/>
      <w:ind w:left="5" w:leftChars="2"/>
      <w:jc w:val="left"/>
      <w:rPr>
        <w:rFonts w:hAnsi="宋体"/>
        <w:spacing w:val="-10"/>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9456F"/>
    <w:multiLevelType w:val="multilevel"/>
    <w:tmpl w:val="3509456F"/>
    <w:lvl w:ilvl="0" w:tentative="0">
      <w:start w:val="1"/>
      <w:numFmt w:val="japaneseCounting"/>
      <w:lvlText w:val="第%1章"/>
      <w:lvlJc w:val="left"/>
      <w:pPr>
        <w:ind w:left="1700" w:hanging="17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35E1CBF"/>
    <w:multiLevelType w:val="multilevel"/>
    <w:tmpl w:val="435E1CBF"/>
    <w:lvl w:ilvl="0" w:tentative="0">
      <w:start w:val="1"/>
      <w:numFmt w:val="decimal"/>
      <w:suff w:val="space"/>
      <w:lvlText w:val="2.%1"/>
      <w:lvlJc w:val="right"/>
      <w:pPr>
        <w:ind w:left="624" w:hanging="57"/>
      </w:pPr>
      <w:rPr>
        <w:rFonts w:hint="eastAsia" w:ascii="宋体" w:eastAsia="宋体"/>
        <w:b w:val="0"/>
        <w:i w:val="0"/>
        <w:sz w:val="24"/>
        <w:szCs w:val="24"/>
      </w:rPr>
    </w:lvl>
    <w:lvl w:ilvl="1" w:tentative="0">
      <w:start w:val="1"/>
      <w:numFmt w:val="decimal"/>
      <w:suff w:val="space"/>
      <w:lvlText w:val="6.2.%2"/>
      <w:lvlJc w:val="left"/>
      <w:pPr>
        <w:ind w:left="0" w:firstLine="992"/>
      </w:pPr>
      <w:rPr>
        <w:rFonts w:hint="eastAsia" w:ascii="宋体" w:hAnsi="宋体" w:eastAsia="宋体"/>
      </w:rPr>
    </w:lvl>
    <w:lvl w:ilvl="2" w:tentative="0">
      <w:start w:val="1"/>
      <w:numFmt w:val="decimal"/>
      <w:suff w:val="space"/>
      <w:lvlText w:val="6.2.%3"/>
      <w:lvlJc w:val="left"/>
      <w:pPr>
        <w:ind w:left="0" w:firstLine="1247"/>
      </w:pPr>
      <w:rPr>
        <w:rFonts w:hint="eastAsia" w:ascii="宋体" w:eastAsia="宋体"/>
        <w:b w:val="0"/>
        <w:i w:val="0"/>
        <w:sz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55137A"/>
    <w:rsid w:val="02CB67CB"/>
    <w:rsid w:val="062F25B4"/>
    <w:rsid w:val="06776C9D"/>
    <w:rsid w:val="09965637"/>
    <w:rsid w:val="0DB71BAB"/>
    <w:rsid w:val="120F42C6"/>
    <w:rsid w:val="134B37B0"/>
    <w:rsid w:val="14B9375B"/>
    <w:rsid w:val="15595C17"/>
    <w:rsid w:val="198F4A63"/>
    <w:rsid w:val="1AEA312B"/>
    <w:rsid w:val="1B454143"/>
    <w:rsid w:val="1B543EC4"/>
    <w:rsid w:val="1BC47479"/>
    <w:rsid w:val="1DA4222A"/>
    <w:rsid w:val="21285D98"/>
    <w:rsid w:val="2A7208D7"/>
    <w:rsid w:val="2B71423D"/>
    <w:rsid w:val="2E860861"/>
    <w:rsid w:val="300448AC"/>
    <w:rsid w:val="34082C6D"/>
    <w:rsid w:val="373E6E3D"/>
    <w:rsid w:val="3AB073C2"/>
    <w:rsid w:val="3F034E53"/>
    <w:rsid w:val="3F91183D"/>
    <w:rsid w:val="408B272F"/>
    <w:rsid w:val="41742162"/>
    <w:rsid w:val="419E5E00"/>
    <w:rsid w:val="45593E53"/>
    <w:rsid w:val="472549B3"/>
    <w:rsid w:val="4759072E"/>
    <w:rsid w:val="47711BFD"/>
    <w:rsid w:val="49416193"/>
    <w:rsid w:val="4A1C20FC"/>
    <w:rsid w:val="4A4A7D7B"/>
    <w:rsid w:val="4CE549E4"/>
    <w:rsid w:val="517A3E4B"/>
    <w:rsid w:val="5911601B"/>
    <w:rsid w:val="6146250A"/>
    <w:rsid w:val="62033D4E"/>
    <w:rsid w:val="62EE5E8D"/>
    <w:rsid w:val="63186AED"/>
    <w:rsid w:val="64C964C2"/>
    <w:rsid w:val="66817027"/>
    <w:rsid w:val="669B0868"/>
    <w:rsid w:val="67425B7C"/>
    <w:rsid w:val="67452661"/>
    <w:rsid w:val="68FC0012"/>
    <w:rsid w:val="69587B22"/>
    <w:rsid w:val="6CC65036"/>
    <w:rsid w:val="711A53D2"/>
    <w:rsid w:val="72E0290B"/>
    <w:rsid w:val="73C80A90"/>
    <w:rsid w:val="75E5283D"/>
    <w:rsid w:val="7CCD08F7"/>
    <w:rsid w:val="7DD62A04"/>
    <w:rsid w:val="EC55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2">
    <w:name w:val="heading 2"/>
    <w:basedOn w:val="1"/>
    <w:next w:val="1"/>
    <w:qFormat/>
    <w:uiPriority w:val="0"/>
    <w:pPr>
      <w:keepNext/>
      <w:keepLines/>
      <w:tabs>
        <w:tab w:val="left" w:pos="668"/>
      </w:tabs>
      <w:adjustRightInd w:val="0"/>
      <w:spacing w:before="300" w:after="240" w:line="400" w:lineRule="exact"/>
      <w:jc w:val="left"/>
      <w:textAlignment w:val="baseline"/>
      <w:outlineLvl w:val="1"/>
    </w:pPr>
    <w:rPr>
      <w:b/>
      <w:color w:val="000000"/>
      <w:kern w:val="0"/>
      <w:szCs w:val="20"/>
    </w:rPr>
  </w:style>
  <w:style w:type="paragraph" w:styleId="4">
    <w:name w:val="heading 3"/>
    <w:basedOn w:val="1"/>
    <w:next w:val="1"/>
    <w:qFormat/>
    <w:uiPriority w:val="0"/>
    <w:pPr>
      <w:keepNext/>
      <w:keepLines/>
      <w:tabs>
        <w:tab w:val="left" w:pos="1028"/>
      </w:tabs>
      <w:spacing w:before="300" w:beforeLines="0" w:after="200" w:afterLines="0"/>
      <w:ind w:left="1012" w:hanging="1012"/>
      <w:outlineLvl w:val="2"/>
    </w:pPr>
    <w:rPr>
      <w:b/>
      <w:kern w:val="0"/>
      <w:szCs w:val="20"/>
      <w:lang w:val="en-G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adjustRightInd w:val="0"/>
      <w:snapToGrid w:val="0"/>
      <w:spacing w:line="240" w:lineRule="atLeast"/>
      <w:ind w:left="720"/>
      <w:textAlignment w:val="baseline"/>
    </w:pPr>
    <w:rPr>
      <w:rFonts w:ascii="宋体" w:hAnsi="宋体"/>
      <w:kern w:val="0"/>
      <w:szCs w:val="20"/>
      <w:lang w:val="en-GB"/>
    </w:rPr>
  </w:style>
  <w:style w:type="paragraph" w:styleId="6">
    <w:name w:val="Plain Text"/>
    <w:basedOn w:val="1"/>
    <w:qFormat/>
    <w:uiPriority w:val="0"/>
    <w:pPr>
      <w:autoSpaceDE w:val="0"/>
      <w:autoSpaceDN w:val="0"/>
      <w:adjustRightInd w:val="0"/>
      <w:spacing w:line="360" w:lineRule="auto"/>
      <w:textAlignment w:val="baseline"/>
    </w:pPr>
    <w:rPr>
      <w:rFonts w:ascii="宋体" w:hAnsi="Courier New"/>
      <w:kern w:val="0"/>
      <w:szCs w:val="20"/>
      <w:lang w:val="en-GB"/>
    </w:rPr>
  </w:style>
  <w:style w:type="paragraph" w:styleId="7">
    <w:name w:val="footer"/>
    <w:basedOn w:val="1"/>
    <w:qFormat/>
    <w:uiPriority w:val="99"/>
    <w:pPr>
      <w:tabs>
        <w:tab w:val="center" w:pos="4153"/>
        <w:tab w:val="right" w:pos="8306"/>
      </w:tabs>
      <w:adjustRightInd w:val="0"/>
      <w:spacing w:line="400" w:lineRule="atLeast"/>
      <w:textAlignment w:val="baseline"/>
    </w:pPr>
    <w:rPr>
      <w:rFonts w:ascii="宋体" w:hAnsi="宋体"/>
      <w:kern w:val="0"/>
      <w:sz w:val="20"/>
      <w:szCs w:val="20"/>
      <w:lang w:val="en-GB"/>
    </w:rPr>
  </w:style>
  <w:style w:type="paragraph" w:styleId="8">
    <w:name w:val="header"/>
    <w:basedOn w:val="1"/>
    <w:qFormat/>
    <w:uiPriority w:val="99"/>
    <w:pPr>
      <w:tabs>
        <w:tab w:val="center" w:pos="4153"/>
        <w:tab w:val="right" w:pos="8306"/>
      </w:tabs>
      <w:adjustRightInd w:val="0"/>
      <w:spacing w:line="400" w:lineRule="atLeast"/>
      <w:textAlignment w:val="baseline"/>
    </w:pPr>
    <w:rPr>
      <w:rFonts w:ascii="宋体" w:hAnsi="宋体"/>
      <w:kern w:val="0"/>
      <w:sz w:val="20"/>
      <w:szCs w:val="20"/>
      <w:lang w:val="en-GB"/>
    </w:rPr>
  </w:style>
  <w:style w:type="paragraph" w:styleId="9">
    <w:name w:val="toc 1"/>
    <w:basedOn w:val="1"/>
    <w:next w:val="1"/>
    <w:qFormat/>
    <w:uiPriority w:val="39"/>
    <w:pPr>
      <w:spacing w:before="360"/>
      <w:jc w:val="left"/>
    </w:pPr>
    <w:rPr>
      <w:rFonts w:ascii="Cambria" w:hAnsi="Cambria"/>
      <w:b/>
      <w:bCs/>
      <w:caps/>
    </w:rPr>
  </w:style>
  <w:style w:type="paragraph" w:styleId="10">
    <w:name w:val="toc 2"/>
    <w:basedOn w:val="1"/>
    <w:next w:val="1"/>
    <w:qFormat/>
    <w:uiPriority w:val="0"/>
    <w:pPr>
      <w:ind w:left="420" w:leftChars="200"/>
    </w:pPr>
  </w:style>
  <w:style w:type="character" w:styleId="13">
    <w:name w:val="page number"/>
    <w:qFormat/>
    <w:uiPriority w:val="0"/>
  </w:style>
  <w:style w:type="character" w:styleId="14">
    <w:name w:val="Hyperlink"/>
    <w:qFormat/>
    <w:uiPriority w:val="99"/>
    <w:rPr>
      <w:color w:val="0000FF"/>
      <w:u w:val="single"/>
    </w:rPr>
  </w:style>
  <w:style w:type="character" w:customStyle="1" w:styleId="15">
    <w:name w:val="标题 2 Char Char"/>
    <w:qFormat/>
    <w:uiPriority w:val="99"/>
    <w:rPr>
      <w:rFonts w:hint="default" w:ascii="Arial" w:hAnsi="Arial" w:eastAsia="黑体" w:cs="Arial"/>
      <w:b/>
      <w:kern w:val="2"/>
      <w:sz w:val="32"/>
      <w:lang w:val="en-US" w:eastAsia="zh-CN"/>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招标文件正文"/>
    <w:basedOn w:val="1"/>
    <w:qFormat/>
    <w:uiPriority w:val="0"/>
    <w:pPr>
      <w:spacing w:line="300" w:lineRule="auto"/>
      <w:ind w:firstLine="200" w:firstLineChars="200"/>
      <w:jc w:val="left"/>
    </w:pPr>
    <w:rPr>
      <w:kern w:val="0"/>
      <w:sz w:val="32"/>
      <w:szCs w:val="32"/>
    </w:rPr>
  </w:style>
  <w:style w:type="paragraph" w:customStyle="1" w:styleId="18">
    <w:name w:val="列表段落1"/>
    <w:basedOn w:val="1"/>
    <w:qFormat/>
    <w:uiPriority w:val="34"/>
    <w:pPr>
      <w:widowControl/>
      <w:ind w:firstLine="420" w:firstLineChars="200"/>
      <w:jc w:val="left"/>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7848</Words>
  <Characters>8136</Characters>
  <Lines>0</Lines>
  <Paragraphs>0</Paragraphs>
  <TotalTime>8</TotalTime>
  <ScaleCrop>false</ScaleCrop>
  <LinksUpToDate>false</LinksUpToDate>
  <CharactersWithSpaces>8795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2024-12-17T14:23:00Z</dcterms:created>
  <dc:creator>周梓博</dc:creator>
  <cp:lastModifiedBy>小白 </cp:lastModifiedBy>
  <dcterms:modified xsi:type="dcterms:W3CDTF">2024-12-20T03:10:39Z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FB46A860124C4EB2ACF7C39B620BABD4_13</vt:lpwstr>
  </property>
</Properties>
</file>